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spacing w:val="0"/>
        </w:rPr>
      </w:pPr>
      <w:r>
        <w:rPr>
          <w:rFonts w:ascii="Times New Roman" w:hAnsi="Times New Roman" w:eastAsia="黑体" w:cs="Times New Roman"/>
          <w:color w:val="000000"/>
          <w:spacing w:val="0"/>
        </w:rPr>
        <w:t>附件1</w:t>
      </w:r>
    </w:p>
    <w:p>
      <w:pPr>
        <w:spacing w:line="600" w:lineRule="exact"/>
        <w:jc w:val="center"/>
        <w:rPr>
          <w:rFonts w:ascii="Times New Roman" w:hAnsi="Times New Roman" w:eastAsia="华文中宋" w:cs="Times New Roman"/>
          <w:color w:val="000000"/>
          <w:spacing w:val="0"/>
          <w:sz w:val="44"/>
          <w:szCs w:val="44"/>
        </w:rPr>
      </w:pPr>
    </w:p>
    <w:p>
      <w:pPr>
        <w:pStyle w:val="10"/>
        <w:spacing w:beforeAutospacing="0" w:afterAutospacing="0" w:line="600" w:lineRule="exact"/>
        <w:jc w:val="center"/>
        <w:rPr>
          <w:rFonts w:ascii="Times New Roman" w:hAnsi="Times New Roman" w:eastAsia="方正小标宋简体" w:cs="Times New Roman"/>
          <w:color w:val="000000"/>
          <w:spacing w:val="0"/>
          <w:sz w:val="44"/>
          <w:szCs w:val="44"/>
        </w:rPr>
      </w:pPr>
      <w:r>
        <w:rPr>
          <w:rFonts w:ascii="Times New Roman" w:hAnsi="Times New Roman" w:eastAsia="方正小标宋简体" w:cs="Times New Roman"/>
          <w:color w:val="000000"/>
          <w:spacing w:val="0"/>
          <w:sz w:val="44"/>
          <w:szCs w:val="44"/>
        </w:rPr>
        <w:t>张家界市市直事业单位2022年公开引进</w:t>
      </w:r>
    </w:p>
    <w:p>
      <w:pPr>
        <w:pStyle w:val="10"/>
        <w:spacing w:beforeAutospacing="0" w:afterAutospacing="0" w:line="600" w:lineRule="exact"/>
        <w:jc w:val="center"/>
        <w:rPr>
          <w:rStyle w:val="14"/>
          <w:rFonts w:ascii="Times New Roman" w:hAnsi="Times New Roman" w:eastAsia="方正小标宋简体"/>
          <w:spacing w:val="0"/>
          <w:sz w:val="44"/>
          <w:szCs w:val="44"/>
        </w:rPr>
      </w:pPr>
      <w:r>
        <w:rPr>
          <w:rFonts w:ascii="Times New Roman" w:hAnsi="Times New Roman" w:eastAsia="方正小标宋简体" w:cs="Times New Roman"/>
          <w:color w:val="000000"/>
          <w:spacing w:val="0"/>
          <w:sz w:val="44"/>
          <w:szCs w:val="44"/>
        </w:rPr>
        <w:t>急需紧缺人才公告</w:t>
      </w:r>
    </w:p>
    <w:p>
      <w:pPr>
        <w:pStyle w:val="10"/>
        <w:spacing w:beforeAutospacing="0" w:afterAutospacing="0" w:line="600" w:lineRule="exact"/>
        <w:jc w:val="center"/>
        <w:rPr>
          <w:rStyle w:val="14"/>
          <w:rFonts w:ascii="Times New Roman" w:hAnsi="Times New Roman" w:eastAsia="黑体"/>
          <w:b w:val="0"/>
          <w:spacing w:val="0"/>
          <w:sz w:val="32"/>
        </w:rPr>
      </w:pPr>
    </w:p>
    <w:p>
      <w:pPr>
        <w:pStyle w:val="10"/>
        <w:spacing w:beforeAutospacing="0" w:afterAutospacing="0" w:line="600" w:lineRule="exact"/>
        <w:ind w:firstLine="640" w:firstLineChars="200"/>
        <w:jc w:val="both"/>
        <w:rPr>
          <w:rFonts w:ascii="Times New Roman" w:hAnsi="Times New Roman" w:eastAsia="黑体" w:cs="Times New Roman"/>
          <w:b/>
          <w:spacing w:val="0"/>
          <w:sz w:val="32"/>
        </w:rPr>
      </w:pPr>
      <w:r>
        <w:rPr>
          <w:rStyle w:val="14"/>
          <w:rFonts w:ascii="Times New Roman" w:hAnsi="Times New Roman" w:eastAsia="黑体"/>
          <w:b w:val="0"/>
          <w:spacing w:val="0"/>
          <w:sz w:val="32"/>
        </w:rPr>
        <w:t>一、引进计划</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u w:val="single"/>
        </w:rPr>
      </w:pPr>
      <w:r>
        <w:rPr>
          <w:rFonts w:ascii="Times New Roman" w:hAnsi="Times New Roman" w:eastAsia="仿宋_GB2312" w:cs="Times New Roman"/>
          <w:color w:val="000000"/>
          <w:spacing w:val="0"/>
          <w:sz w:val="32"/>
        </w:rPr>
        <w:t>本次引进计划公开引进急需紧缺人才</w:t>
      </w:r>
      <w:r>
        <w:rPr>
          <w:rFonts w:ascii="Times New Roman" w:hAnsi="Times New Roman" w:eastAsia="仿宋_GB2312" w:cs="Times New Roman"/>
          <w:spacing w:val="0"/>
          <w:sz w:val="32"/>
        </w:rPr>
        <w:t>73名</w:t>
      </w:r>
      <w:r>
        <w:rPr>
          <w:rFonts w:ascii="Times New Roman" w:hAnsi="Times New Roman" w:eastAsia="仿宋_GB2312" w:cs="Times New Roman"/>
          <w:color w:val="000000"/>
          <w:spacing w:val="0"/>
          <w:sz w:val="32"/>
        </w:rPr>
        <w:t>，纳入事业编制管理，引进岗位、人数及资格条件见《张家界市市直事业单位2022年公开引进急需紧缺人才职位计划表》（附后）。</w:t>
      </w:r>
    </w:p>
    <w:p>
      <w:pPr>
        <w:pStyle w:val="10"/>
        <w:spacing w:beforeAutospacing="0" w:afterAutospacing="0" w:line="600" w:lineRule="exact"/>
        <w:ind w:firstLine="640" w:firstLineChars="200"/>
        <w:jc w:val="both"/>
        <w:rPr>
          <w:rFonts w:ascii="Times New Roman" w:hAnsi="Times New Roman" w:eastAsia="黑体" w:cs="Times New Roman"/>
          <w:b/>
          <w:spacing w:val="0"/>
          <w:sz w:val="32"/>
        </w:rPr>
      </w:pPr>
      <w:r>
        <w:rPr>
          <w:rStyle w:val="14"/>
          <w:rFonts w:ascii="Times New Roman" w:hAnsi="Times New Roman" w:eastAsia="黑体"/>
          <w:b w:val="0"/>
          <w:spacing w:val="0"/>
          <w:sz w:val="32"/>
        </w:rPr>
        <w:t>二、引进条件</w:t>
      </w:r>
    </w:p>
    <w:p>
      <w:pPr>
        <w:pStyle w:val="10"/>
        <w:spacing w:beforeAutospacing="0" w:afterAutospacing="0" w:line="600" w:lineRule="exact"/>
        <w:ind w:firstLine="640" w:firstLineChars="200"/>
        <w:jc w:val="both"/>
        <w:rPr>
          <w:rFonts w:ascii="Times New Roman" w:hAnsi="Times New Roman" w:eastAsia="楷体_GB2312" w:cs="Times New Roman"/>
          <w:color w:val="000000"/>
          <w:spacing w:val="0"/>
          <w:sz w:val="32"/>
        </w:rPr>
      </w:pPr>
      <w:r>
        <w:rPr>
          <w:rFonts w:ascii="Times New Roman" w:hAnsi="Times New Roman" w:eastAsia="楷体_GB2312" w:cs="Times New Roman"/>
          <w:color w:val="000000"/>
          <w:spacing w:val="0"/>
          <w:sz w:val="32"/>
        </w:rPr>
        <w:t>（一）报名条件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报名人员必须具备以下基本条件：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1.具有中华人民共和国国籍；</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2.遵守中华人民共和国宪法和法律；</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3.具有良好的品行和职业道德；</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4.具有岗位所需的专业或技能条件；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5.适应岗位要求的身体条件；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6.满足岗位所需要的其他条件；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7.市外人才（参考《张家界市人才引进操作规程》中关于市外人才的认定要求）。</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（二）不得报考的情形</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有下列情形之一的，不得报名：</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1.曾因犯罪受过刑事处罚或曾被开除公职的人员；</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2.尚未解除党纪、政纪处分或正在接受纪律审查的人员；</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3.涉嫌违法犯罪正在接受司法调查尚未作出结论的人员；</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4.在各级各类人事考试招录中因违反《事业单位公开招聘违纪违规行为处理规定》被记入事业单位公开招聘应聘人员诚信档案库，且记录期未满的人员；</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hint="eastAsia" w:ascii="Times New Roman" w:hAnsi="Times New Roman" w:eastAsia="仿宋_GB2312" w:cs="Times New Roman"/>
          <w:color w:val="000000"/>
          <w:spacing w:val="0"/>
          <w:sz w:val="32"/>
        </w:rPr>
        <w:t>5.</w:t>
      </w:r>
      <w:r>
        <w:rPr>
          <w:rFonts w:ascii="Times New Roman" w:hAnsi="Times New Roman" w:eastAsia="仿宋_GB2312" w:cs="Times New Roman"/>
          <w:color w:val="000000"/>
          <w:spacing w:val="0"/>
          <w:sz w:val="32"/>
        </w:rPr>
        <w:t>被依法列为失信联合惩戒对象的</w:t>
      </w:r>
      <w:r>
        <w:rPr>
          <w:rFonts w:hint="eastAsia" w:ascii="Times New Roman" w:hAnsi="Times New Roman" w:eastAsia="仿宋_GB2312" w:cs="Times New Roman"/>
          <w:color w:val="000000"/>
          <w:spacing w:val="0"/>
          <w:sz w:val="32"/>
        </w:rPr>
        <w:t>人员；</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hint="eastAsia" w:ascii="Times New Roman" w:hAnsi="Times New Roman" w:eastAsia="仿宋_GB2312" w:cs="Times New Roman"/>
          <w:color w:val="000000"/>
          <w:spacing w:val="0"/>
          <w:sz w:val="32"/>
        </w:rPr>
        <w:t>6</w:t>
      </w:r>
      <w:r>
        <w:rPr>
          <w:rFonts w:ascii="Times New Roman" w:hAnsi="Times New Roman" w:eastAsia="仿宋_GB2312" w:cs="Times New Roman"/>
          <w:color w:val="000000"/>
          <w:spacing w:val="0"/>
          <w:sz w:val="32"/>
        </w:rPr>
        <w:t>.法律、政策规定不得聘用为事业单位工作人员的其他情形人员</w:t>
      </w:r>
      <w:r>
        <w:rPr>
          <w:rFonts w:ascii="Times New Roman" w:hAnsi="Times New Roman" w:eastAsia="仿宋_GB2312" w:cs="Times New Roman"/>
          <w:spacing w:val="0"/>
          <w:sz w:val="32"/>
        </w:rPr>
        <w:t>。</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报考人员不得报考聘用后即构成应回避关系的</w:t>
      </w:r>
      <w:r>
        <w:rPr>
          <w:rFonts w:hint="eastAsia" w:ascii="Times New Roman" w:hAnsi="Times New Roman" w:eastAsia="仿宋_GB2312" w:cs="Times New Roman"/>
          <w:color w:val="000000"/>
          <w:spacing w:val="0"/>
          <w:sz w:val="32"/>
        </w:rPr>
        <w:t>岗位</w:t>
      </w:r>
      <w:r>
        <w:rPr>
          <w:rFonts w:ascii="Times New Roman" w:hAnsi="Times New Roman" w:eastAsia="仿宋_GB2312" w:cs="Times New Roman"/>
          <w:color w:val="000000"/>
          <w:spacing w:val="0"/>
          <w:sz w:val="32"/>
        </w:rPr>
        <w:t>。</w:t>
      </w:r>
    </w:p>
    <w:p>
      <w:pPr>
        <w:pStyle w:val="10"/>
        <w:spacing w:beforeAutospacing="0" w:afterAutospacing="0" w:line="600" w:lineRule="exact"/>
        <w:ind w:firstLine="640" w:firstLineChars="200"/>
        <w:jc w:val="both"/>
        <w:rPr>
          <w:rFonts w:ascii="Times New Roman" w:hAnsi="Times New Roman" w:eastAsia="楷体_GB2312" w:cs="Times New Roman"/>
          <w:color w:val="FF0000"/>
          <w:spacing w:val="0"/>
          <w:sz w:val="32"/>
        </w:rPr>
      </w:pPr>
      <w:r>
        <w:rPr>
          <w:rFonts w:ascii="Times New Roman" w:hAnsi="Times New Roman" w:eastAsia="楷体_GB2312" w:cs="Times New Roman"/>
          <w:color w:val="000000"/>
          <w:spacing w:val="0"/>
          <w:sz w:val="32"/>
        </w:rPr>
        <w:t>（三）其他说明</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1.报考人员的学历（学位）必须为国家承认的学历（学位），对有疑义的国民教育学历（学位），以教育行政部门认定的结果为准。</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2.往届高校毕业生的学历学位证书、留学归国人员学历认证和</w:t>
      </w:r>
      <w:r>
        <w:rPr>
          <w:rFonts w:hint="eastAsia" w:ascii="Times New Roman" w:hAnsi="Times New Roman" w:eastAsia="仿宋_GB2312" w:cs="Times New Roman"/>
          <w:color w:val="000000"/>
          <w:spacing w:val="0"/>
          <w:sz w:val="32"/>
        </w:rPr>
        <w:t>引进岗位</w:t>
      </w:r>
      <w:r>
        <w:rPr>
          <w:rFonts w:ascii="Times New Roman" w:hAnsi="Times New Roman" w:eastAsia="仿宋_GB2312" w:cs="Times New Roman"/>
          <w:color w:val="000000"/>
          <w:spacing w:val="0"/>
          <w:sz w:val="32"/>
        </w:rPr>
        <w:t>要求的其他证书必须在资格审查前取得</w:t>
      </w:r>
      <w:r>
        <w:rPr>
          <w:rFonts w:ascii="Times New Roman" w:hAnsi="Times New Roman" w:eastAsia="仿宋_GB2312" w:cs="Times New Roman"/>
          <w:spacing w:val="0"/>
          <w:sz w:val="32"/>
        </w:rPr>
        <w:t>（2021届高校毕业生须在资格审查截止日期前取得）；2022</w:t>
      </w:r>
      <w:r>
        <w:rPr>
          <w:rFonts w:ascii="Times New Roman" w:hAnsi="Times New Roman" w:eastAsia="仿宋_GB2312" w:cs="Times New Roman"/>
          <w:color w:val="000000"/>
          <w:spacing w:val="0"/>
          <w:sz w:val="32"/>
        </w:rPr>
        <w:t>届高校毕业生的学历学位证书</w:t>
      </w:r>
      <w:r>
        <w:rPr>
          <w:rFonts w:hint="eastAsia" w:ascii="Times New Roman" w:hAnsi="Times New Roman" w:eastAsia="仿宋_GB2312" w:cs="Times New Roman"/>
          <w:color w:val="000000"/>
          <w:spacing w:val="0"/>
          <w:sz w:val="32"/>
        </w:rPr>
        <w:t>和引进岗位要求的其他证书</w:t>
      </w:r>
      <w:r>
        <w:rPr>
          <w:rFonts w:ascii="Times New Roman" w:hAnsi="Times New Roman" w:eastAsia="仿宋_GB2312" w:cs="Times New Roman"/>
          <w:color w:val="000000"/>
          <w:spacing w:val="0"/>
          <w:sz w:val="32"/>
        </w:rPr>
        <w:t>必须在2022年7月31日前取得</w:t>
      </w:r>
      <w:r>
        <w:rPr>
          <w:rFonts w:hint="eastAsia" w:ascii="Times New Roman" w:hAnsi="Times New Roman" w:eastAsia="仿宋_GB2312" w:cs="Times New Roman"/>
          <w:color w:val="000000"/>
          <w:spacing w:val="0"/>
          <w:sz w:val="32"/>
        </w:rPr>
        <w:t>（已通过相关考试暂未取得证书的，可提供考试成绩合格的证明）</w:t>
      </w:r>
      <w:r>
        <w:rPr>
          <w:rFonts w:ascii="Times New Roman" w:hAnsi="Times New Roman" w:eastAsia="仿宋_GB2312" w:cs="Times New Roman"/>
          <w:color w:val="000000"/>
          <w:spacing w:val="0"/>
          <w:sz w:val="32"/>
        </w:rPr>
        <w:t>。</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3.硕士研究生的具体要求：</w:t>
      </w:r>
      <w:r>
        <w:rPr>
          <w:rFonts w:ascii="Times New Roman" w:hAnsi="Times New Roman" w:eastAsia="仿宋_GB2312" w:cs="Times New Roman"/>
          <w:spacing w:val="0"/>
          <w:sz w:val="32"/>
        </w:rPr>
        <w:t>全日制硕士研究生或2017年以来通过全国硕士研究生统一考试的非全日制硕士研究生</w:t>
      </w:r>
      <w:r>
        <w:rPr>
          <w:rFonts w:ascii="Times New Roman" w:hAnsi="Times New Roman" w:eastAsia="仿宋_GB2312" w:cs="Times New Roman"/>
          <w:color w:val="000000"/>
          <w:spacing w:val="0"/>
          <w:sz w:val="32"/>
        </w:rPr>
        <w:t>［</w:t>
      </w:r>
      <w:r>
        <w:rPr>
          <w:rFonts w:ascii="Times New Roman" w:hAnsi="Times New Roman" w:eastAsia="仿宋_GB2312" w:cs="Times New Roman"/>
          <w:spacing w:val="0"/>
          <w:sz w:val="32"/>
        </w:rPr>
        <w:t>前置学历为大学本科（不含专升本），且具有国家承认的学士学位</w:t>
      </w:r>
      <w:r>
        <w:rPr>
          <w:rFonts w:ascii="Times New Roman" w:hAnsi="Times New Roman" w:eastAsia="仿宋_GB2312" w:cs="Times New Roman"/>
          <w:color w:val="000000"/>
          <w:spacing w:val="0"/>
          <w:sz w:val="32"/>
        </w:rPr>
        <w:t>］</w:t>
      </w:r>
      <w:r>
        <w:rPr>
          <w:rFonts w:ascii="Times New Roman" w:hAnsi="Times New Roman" w:eastAsia="仿宋_GB2312" w:cs="Times New Roman"/>
          <w:spacing w:val="0"/>
          <w:sz w:val="32"/>
          <w:shd w:val="clear" w:color="auto" w:fill="FFFFFF"/>
        </w:rPr>
        <w:t>。</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4.报考人员的专业应严格按照学历学位证书填写，本次引进条件所涉及专业参照《湖南省2021年考试录用公务员专业指导目录》执行，所学专业已列入《湖南省2021年考试录用公务员专业指导目录》但未列入引进</w:t>
      </w:r>
      <w:r>
        <w:rPr>
          <w:rFonts w:hint="eastAsia" w:ascii="Times New Roman" w:hAnsi="Times New Roman" w:eastAsia="仿宋_GB2312" w:cs="Times New Roman"/>
          <w:color w:val="000000"/>
          <w:spacing w:val="0"/>
          <w:sz w:val="32"/>
        </w:rPr>
        <w:t>岗位</w:t>
      </w:r>
      <w:r>
        <w:rPr>
          <w:rFonts w:ascii="Times New Roman" w:hAnsi="Times New Roman" w:eastAsia="仿宋_GB2312" w:cs="Times New Roman"/>
          <w:color w:val="000000"/>
          <w:spacing w:val="0"/>
          <w:sz w:val="32"/>
        </w:rPr>
        <w:t>专业的，不符合报考条件；所学专业未列入《湖南省2021年考试录用公务员专业指导目录》的，</w:t>
      </w:r>
      <w:r>
        <w:rPr>
          <w:rFonts w:ascii="Times New Roman" w:hAnsi="Times New Roman" w:eastAsia="仿宋_GB2312" w:cs="Times New Roman"/>
          <w:spacing w:val="0"/>
          <w:sz w:val="32"/>
        </w:rPr>
        <w:t>由</w:t>
      </w:r>
      <w:r>
        <w:rPr>
          <w:rFonts w:hint="eastAsia" w:ascii="Times New Roman" w:hAnsi="Times New Roman" w:eastAsia="仿宋_GB2312" w:cs="Times New Roman"/>
          <w:spacing w:val="0"/>
          <w:sz w:val="32"/>
        </w:rPr>
        <w:t>用人单位主管部门认定</w:t>
      </w:r>
      <w:r>
        <w:rPr>
          <w:rFonts w:ascii="Times New Roman" w:hAnsi="Times New Roman" w:eastAsia="仿宋_GB2312" w:cs="Times New Roman"/>
          <w:spacing w:val="0"/>
          <w:sz w:val="32"/>
        </w:rPr>
        <w:t>。</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5.报考人员的年龄要求：以2021年12月31日为准计算（含12月31日），比如报考人员的年龄要求“30周岁及以下”是指1990年12月31日以后出生的。</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6.报考人员在整个人才引进过程中，应保持报名时登记的通讯工具畅通，因个人通讯不畅造成的一切后果自负。</w:t>
      </w:r>
    </w:p>
    <w:p>
      <w:pPr>
        <w:pStyle w:val="2"/>
        <w:spacing w:after="0" w:line="600" w:lineRule="exact"/>
        <w:ind w:left="0" w:leftChars="0" w:firstLine="640"/>
        <w:rPr>
          <w:rFonts w:ascii="Times New Roman" w:hAnsi="Times New Roman" w:eastAsia="仿宋_GB2312" w:cs="Times New Roman"/>
          <w:color w:val="000000"/>
          <w:spacing w:val="0"/>
        </w:rPr>
      </w:pPr>
      <w:r>
        <w:rPr>
          <w:rFonts w:ascii="Times New Roman" w:hAnsi="Times New Roman" w:eastAsia="仿宋_GB2312" w:cs="Times New Roman"/>
          <w:spacing w:val="0"/>
        </w:rPr>
        <w:t>7.对经营管理水平高、研发能力强、技能精湛或具有特殊才能的实用型人才，可不受学历职称限制。</w:t>
      </w:r>
    </w:p>
    <w:p>
      <w:pPr>
        <w:pStyle w:val="10"/>
        <w:spacing w:beforeAutospacing="0" w:afterAutospacing="0" w:line="600" w:lineRule="exact"/>
        <w:ind w:firstLine="640" w:firstLineChars="200"/>
        <w:jc w:val="both"/>
        <w:rPr>
          <w:rStyle w:val="14"/>
          <w:rFonts w:ascii="Times New Roman" w:hAnsi="Times New Roman" w:eastAsia="黑体"/>
          <w:b w:val="0"/>
          <w:spacing w:val="0"/>
          <w:sz w:val="32"/>
        </w:rPr>
      </w:pPr>
      <w:r>
        <w:rPr>
          <w:rStyle w:val="14"/>
          <w:rFonts w:ascii="Times New Roman" w:hAnsi="Times New Roman" w:eastAsia="黑体"/>
          <w:b w:val="0"/>
          <w:spacing w:val="0"/>
          <w:sz w:val="32"/>
        </w:rPr>
        <w:t>三、引进程序</w:t>
      </w:r>
    </w:p>
    <w:p>
      <w:pPr>
        <w:pStyle w:val="10"/>
        <w:spacing w:beforeAutospacing="0" w:afterAutospacing="0" w:line="600" w:lineRule="exact"/>
        <w:ind w:firstLine="640" w:firstLineChars="200"/>
        <w:jc w:val="both"/>
        <w:rPr>
          <w:rFonts w:ascii="Times New Roman" w:hAnsi="Times New Roman" w:eastAsia="楷体_GB2312" w:cs="Times New Roman"/>
          <w:spacing w:val="0"/>
          <w:sz w:val="32"/>
        </w:rPr>
      </w:pPr>
      <w:r>
        <w:rPr>
          <w:rFonts w:ascii="Times New Roman" w:hAnsi="Times New Roman" w:eastAsia="楷体_GB2312" w:cs="Times New Roman"/>
          <w:color w:val="000000"/>
          <w:spacing w:val="0"/>
          <w:sz w:val="32"/>
        </w:rPr>
        <w:t>（一）网上报名</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报考人员登录张家界人才在线网（www.张家界人才在线.com），在“综合申报——人才引进——人才引进（报名）登记表”中报名，每人限报一个岗位。报名时间为2021年12月1</w:t>
      </w:r>
      <w:r>
        <w:rPr>
          <w:rFonts w:hint="eastAsia" w:ascii="Times New Roman" w:hAnsi="Times New Roman" w:eastAsia="仿宋_GB2312" w:cs="Times New Roman"/>
          <w:spacing w:val="0"/>
          <w:sz w:val="32"/>
        </w:rPr>
        <w:t>4</w:t>
      </w:r>
      <w:r>
        <w:rPr>
          <w:rFonts w:ascii="Times New Roman" w:hAnsi="Times New Roman" w:eastAsia="仿宋_GB2312" w:cs="Times New Roman"/>
          <w:spacing w:val="0"/>
          <w:sz w:val="32"/>
        </w:rPr>
        <w:t>日至12月2</w:t>
      </w:r>
      <w:r>
        <w:rPr>
          <w:rFonts w:hint="eastAsia" w:ascii="Times New Roman" w:hAnsi="Times New Roman" w:eastAsia="仿宋_GB2312" w:cs="Times New Roman"/>
          <w:spacing w:val="0"/>
          <w:sz w:val="32"/>
        </w:rPr>
        <w:t>2</w:t>
      </w:r>
      <w:r>
        <w:rPr>
          <w:rFonts w:ascii="Times New Roman" w:hAnsi="Times New Roman" w:eastAsia="仿宋_GB2312" w:cs="Times New Roman"/>
          <w:spacing w:val="0"/>
          <w:sz w:val="32"/>
        </w:rPr>
        <w:t>日。网上报名时填写《张</w:t>
      </w:r>
      <w:r>
        <w:rPr>
          <w:rFonts w:ascii="Times New Roman" w:hAnsi="Times New Roman" w:eastAsia="仿宋_GB2312" w:cs="Times New Roman"/>
          <w:color w:val="000000"/>
          <w:spacing w:val="0"/>
          <w:sz w:val="32"/>
        </w:rPr>
        <w:t>家界市公开引进急需紧缺人才报名（申报）登记表》，并上传本人近期免冠证件照和有效居民身份证、学历学位证、《教育部学历证书电子注册备案表》（2022届毕业生可提供《教育部学籍在线验证报告》）</w:t>
      </w:r>
      <w:r>
        <w:rPr>
          <w:rFonts w:hint="eastAsia" w:ascii="Times New Roman" w:hAnsi="Times New Roman" w:eastAsia="仿宋_GB2312" w:cs="Times New Roman"/>
          <w:color w:val="000000"/>
          <w:spacing w:val="0"/>
          <w:sz w:val="32"/>
        </w:rPr>
        <w:t>和引进岗位要求的其他证书</w:t>
      </w:r>
      <w:r>
        <w:rPr>
          <w:rFonts w:ascii="Times New Roman" w:hAnsi="Times New Roman" w:eastAsia="仿宋_GB2312" w:cs="Times New Roman"/>
          <w:color w:val="000000"/>
          <w:spacing w:val="0"/>
          <w:sz w:val="32"/>
        </w:rPr>
        <w:t>等材料的扫描件。</w:t>
      </w:r>
      <w:r>
        <w:rPr>
          <w:rFonts w:hint="eastAsia" w:ascii="Times New Roman" w:hAnsi="Times New Roman" w:eastAsia="仿宋_GB2312" w:cs="Times New Roman"/>
          <w:spacing w:val="0"/>
          <w:sz w:val="32"/>
        </w:rPr>
        <w:t>用人</w:t>
      </w:r>
      <w:r>
        <w:rPr>
          <w:rFonts w:ascii="Times New Roman" w:hAnsi="Times New Roman" w:eastAsia="仿宋_GB2312" w:cs="Times New Roman"/>
          <w:spacing w:val="0"/>
          <w:sz w:val="32"/>
        </w:rPr>
        <w:t>单位及时对报考人员进行网上资格初审并告知报考人员初审结果。</w:t>
      </w:r>
    </w:p>
    <w:p>
      <w:pPr>
        <w:pStyle w:val="10"/>
        <w:spacing w:beforeAutospacing="0" w:afterAutospacing="0" w:line="600" w:lineRule="exact"/>
        <w:ind w:firstLine="640" w:firstLineChars="200"/>
        <w:jc w:val="both"/>
        <w:rPr>
          <w:rFonts w:ascii="Times New Roman" w:hAnsi="Times New Roman" w:eastAsia="楷体_GB2312" w:cs="Times New Roman"/>
          <w:spacing w:val="0"/>
          <w:sz w:val="32"/>
        </w:rPr>
      </w:pPr>
      <w:r>
        <w:rPr>
          <w:rFonts w:ascii="Times New Roman" w:hAnsi="Times New Roman" w:eastAsia="仿宋_GB2312" w:cs="Times New Roman"/>
          <w:color w:val="000000"/>
          <w:spacing w:val="0"/>
          <w:sz w:val="32"/>
        </w:rPr>
        <w:t>（</w:t>
      </w:r>
      <w:r>
        <w:rPr>
          <w:rFonts w:ascii="Times New Roman" w:hAnsi="Times New Roman" w:eastAsia="楷体_GB2312" w:cs="Times New Roman"/>
          <w:spacing w:val="0"/>
          <w:sz w:val="32"/>
        </w:rPr>
        <w:t>二）现场资格审查</w:t>
      </w:r>
    </w:p>
    <w:p>
      <w:pPr>
        <w:pStyle w:val="10"/>
        <w:spacing w:beforeAutospacing="0" w:afterAutospacing="0" w:line="600" w:lineRule="exact"/>
        <w:ind w:firstLine="640" w:firstLineChars="200"/>
        <w:jc w:val="both"/>
        <w:rPr>
          <w:rFonts w:ascii="Times New Roman" w:hAnsi="Times New Roman" w:eastAsia="仿宋_GB2312" w:cs="Times New Roman"/>
          <w:color w:val="000000" w:themeColor="text1"/>
          <w:spacing w:val="0"/>
          <w:sz w:val="32"/>
        </w:rPr>
      </w:pPr>
      <w:r>
        <w:rPr>
          <w:rFonts w:ascii="Times New Roman" w:hAnsi="Times New Roman" w:eastAsia="仿宋_GB2312" w:cs="Times New Roman"/>
          <w:color w:val="000000"/>
          <w:spacing w:val="0"/>
          <w:sz w:val="32"/>
        </w:rPr>
        <w:t>需本人在现场进行，时间</w:t>
      </w:r>
      <w:r>
        <w:rPr>
          <w:rFonts w:hint="eastAsia" w:ascii="Times New Roman" w:hAnsi="Times New Roman" w:eastAsia="仿宋_GB2312" w:cs="Times New Roman"/>
          <w:color w:val="000000"/>
          <w:spacing w:val="0"/>
          <w:sz w:val="32"/>
        </w:rPr>
        <w:t>暂定</w:t>
      </w:r>
      <w:r>
        <w:rPr>
          <w:rFonts w:ascii="Times New Roman" w:hAnsi="Times New Roman" w:eastAsia="仿宋_GB2312" w:cs="Times New Roman"/>
          <w:color w:val="000000"/>
          <w:spacing w:val="0"/>
          <w:sz w:val="32"/>
        </w:rPr>
        <w:t>为2021年12月2</w:t>
      </w:r>
      <w:r>
        <w:rPr>
          <w:rFonts w:hint="eastAsia" w:ascii="Times New Roman" w:hAnsi="Times New Roman" w:eastAsia="仿宋_GB2312" w:cs="Times New Roman"/>
          <w:color w:val="000000"/>
          <w:spacing w:val="0"/>
          <w:sz w:val="32"/>
        </w:rPr>
        <w:t>3</w:t>
      </w:r>
      <w:r>
        <w:rPr>
          <w:rFonts w:ascii="Times New Roman" w:hAnsi="Times New Roman" w:eastAsia="仿宋_GB2312" w:cs="Times New Roman"/>
          <w:color w:val="000000"/>
          <w:spacing w:val="0"/>
          <w:sz w:val="32"/>
        </w:rPr>
        <w:t>日至12月2</w:t>
      </w:r>
      <w:r>
        <w:rPr>
          <w:rFonts w:hint="eastAsia" w:ascii="Times New Roman" w:hAnsi="Times New Roman" w:eastAsia="仿宋_GB2312" w:cs="Times New Roman"/>
          <w:color w:val="000000"/>
          <w:spacing w:val="0"/>
          <w:sz w:val="32"/>
        </w:rPr>
        <w:t>4</w:t>
      </w:r>
      <w:r>
        <w:rPr>
          <w:rFonts w:ascii="Times New Roman" w:hAnsi="Times New Roman" w:eastAsia="仿宋_GB2312" w:cs="Times New Roman"/>
          <w:color w:val="000000"/>
          <w:spacing w:val="0"/>
          <w:sz w:val="32"/>
        </w:rPr>
        <w:t>日（上</w:t>
      </w:r>
      <w:r>
        <w:rPr>
          <w:rFonts w:ascii="Times New Roman" w:hAnsi="Times New Roman" w:eastAsia="仿宋_GB2312" w:cs="Times New Roman"/>
          <w:color w:val="000000" w:themeColor="text1"/>
          <w:spacing w:val="0"/>
          <w:sz w:val="32"/>
        </w:rPr>
        <w:t>午8:00—12:00，下午</w:t>
      </w:r>
      <w:r>
        <w:rPr>
          <w:rFonts w:hint="eastAsia" w:ascii="Times New Roman" w:hAnsi="Times New Roman" w:eastAsia="仿宋_GB2312" w:cs="Times New Roman"/>
          <w:color w:val="000000" w:themeColor="text1"/>
          <w:spacing w:val="0"/>
          <w:sz w:val="32"/>
        </w:rPr>
        <w:t>2</w:t>
      </w:r>
      <w:r>
        <w:rPr>
          <w:rFonts w:ascii="Times New Roman" w:hAnsi="Times New Roman" w:eastAsia="仿宋_GB2312" w:cs="Times New Roman"/>
          <w:color w:val="000000" w:themeColor="text1"/>
          <w:spacing w:val="0"/>
          <w:sz w:val="32"/>
        </w:rPr>
        <w:t>:30—</w:t>
      </w:r>
      <w:r>
        <w:rPr>
          <w:rFonts w:hint="eastAsia" w:ascii="Times New Roman" w:hAnsi="Times New Roman" w:eastAsia="仿宋_GB2312" w:cs="Times New Roman"/>
          <w:color w:val="000000" w:themeColor="text1"/>
          <w:spacing w:val="0"/>
          <w:sz w:val="32"/>
        </w:rPr>
        <w:t>5</w:t>
      </w:r>
      <w:r>
        <w:rPr>
          <w:rFonts w:ascii="Times New Roman" w:hAnsi="Times New Roman" w:eastAsia="仿宋_GB2312" w:cs="Times New Roman"/>
          <w:color w:val="000000" w:themeColor="text1"/>
          <w:spacing w:val="0"/>
          <w:sz w:val="32"/>
        </w:rPr>
        <w:t>:30），</w:t>
      </w:r>
      <w:r>
        <w:rPr>
          <w:rFonts w:hint="eastAsia" w:ascii="Times New Roman" w:hAnsi="Times New Roman" w:eastAsia="仿宋_GB2312" w:cs="Times New Roman"/>
          <w:color w:val="000000" w:themeColor="text1"/>
          <w:spacing w:val="0"/>
          <w:sz w:val="32"/>
        </w:rPr>
        <w:t>具体事宜</w:t>
      </w:r>
      <w:r>
        <w:rPr>
          <w:rFonts w:ascii="Times New Roman" w:hAnsi="Times New Roman" w:eastAsia="仿宋_GB2312" w:cs="Times New Roman"/>
          <w:color w:val="000000" w:themeColor="text1"/>
          <w:spacing w:val="0"/>
          <w:sz w:val="32"/>
        </w:rPr>
        <w:t>由</w:t>
      </w:r>
      <w:r>
        <w:rPr>
          <w:rFonts w:hint="eastAsia" w:ascii="Times New Roman" w:hAnsi="Times New Roman" w:eastAsia="仿宋_GB2312" w:cs="Times New Roman"/>
          <w:color w:val="000000" w:themeColor="text1"/>
          <w:spacing w:val="0"/>
          <w:sz w:val="32"/>
        </w:rPr>
        <w:t>用人</w:t>
      </w:r>
      <w:r>
        <w:rPr>
          <w:rFonts w:ascii="Times New Roman" w:hAnsi="Times New Roman" w:eastAsia="仿宋_GB2312" w:cs="Times New Roman"/>
          <w:color w:val="000000" w:themeColor="text1"/>
          <w:spacing w:val="0"/>
          <w:sz w:val="32"/>
        </w:rPr>
        <w:t>单位另行通知。</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rPr>
        <w:t>现场资格复核</w:t>
      </w:r>
      <w:r>
        <w:rPr>
          <w:rFonts w:ascii="Times New Roman" w:hAnsi="Times New Roman" w:eastAsia="仿宋_GB2312" w:cs="Times New Roman"/>
          <w:color w:val="000000"/>
          <w:spacing w:val="0"/>
          <w:sz w:val="32"/>
        </w:rPr>
        <w:t>时须提供以下材料的原件和复印件：</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1.《张家界市公开引进急需紧缺人才报名（申报）登记表》</w:t>
      </w:r>
      <w:r>
        <w:rPr>
          <w:rFonts w:hint="eastAsia" w:ascii="Times New Roman" w:hAnsi="Times New Roman" w:eastAsia="仿宋_GB2312" w:cs="Times New Roman"/>
          <w:color w:val="000000"/>
          <w:spacing w:val="0"/>
          <w:sz w:val="32"/>
        </w:rPr>
        <w:t>（一式三份）</w:t>
      </w:r>
      <w:r>
        <w:rPr>
          <w:rFonts w:ascii="Times New Roman" w:hAnsi="Times New Roman" w:eastAsia="仿宋_GB2312" w:cs="Times New Roman"/>
          <w:color w:val="000000"/>
          <w:spacing w:val="0"/>
          <w:sz w:val="32"/>
        </w:rPr>
        <w:t>；</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2.本人有效居民身份证；</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3.学历学位证；</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4.《教育部学历证书电子注册备案表》（2022届毕业生可提供《教育部学籍在线验证报告》）；</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5.</w:t>
      </w:r>
      <w:r>
        <w:rPr>
          <w:rFonts w:hint="eastAsia" w:ascii="Times New Roman" w:hAnsi="Times New Roman" w:eastAsia="仿宋_GB2312" w:cs="Times New Roman"/>
          <w:color w:val="000000"/>
          <w:spacing w:val="0"/>
          <w:sz w:val="32"/>
        </w:rPr>
        <w:t>引进岗位要求的其他证书</w:t>
      </w:r>
      <w:r>
        <w:rPr>
          <w:rFonts w:ascii="Times New Roman" w:hAnsi="Times New Roman" w:eastAsia="仿宋_GB2312" w:cs="Times New Roman"/>
          <w:color w:val="000000"/>
          <w:spacing w:val="0"/>
          <w:sz w:val="32"/>
        </w:rPr>
        <w:t>。</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现场资格复核合格者登录报名网站打印准考证，进入面试程序。</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资格审查贯穿引进工作全过程，任何环节发现引进对象不符合岗位报名条件或提供的材料弄虚作假，一经查实，取消考试或引进资格。</w:t>
      </w:r>
    </w:p>
    <w:p>
      <w:pPr>
        <w:pStyle w:val="10"/>
        <w:spacing w:beforeAutospacing="0" w:afterAutospacing="0" w:line="600" w:lineRule="exact"/>
        <w:ind w:firstLine="640" w:firstLineChars="200"/>
        <w:jc w:val="both"/>
        <w:rPr>
          <w:rFonts w:ascii="Times New Roman" w:hAnsi="Times New Roman" w:eastAsia="楷体_GB2312" w:cs="Times New Roman"/>
          <w:color w:val="000000"/>
          <w:spacing w:val="0"/>
          <w:sz w:val="32"/>
        </w:rPr>
      </w:pPr>
      <w:r>
        <w:rPr>
          <w:rFonts w:ascii="Times New Roman" w:hAnsi="Times New Roman" w:eastAsia="楷体_GB2312" w:cs="Times New Roman"/>
          <w:color w:val="000000"/>
          <w:spacing w:val="0"/>
          <w:sz w:val="32"/>
        </w:rPr>
        <w:t>（三）面试（考核）</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面试暂定于12月2</w:t>
      </w:r>
      <w:r>
        <w:rPr>
          <w:rFonts w:hint="eastAsia" w:ascii="Times New Roman" w:hAnsi="Times New Roman" w:eastAsia="仿宋_GB2312" w:cs="Times New Roman"/>
          <w:color w:val="000000"/>
          <w:spacing w:val="0"/>
          <w:sz w:val="32"/>
        </w:rPr>
        <w:t>6</w:t>
      </w:r>
      <w:r>
        <w:rPr>
          <w:rFonts w:ascii="Times New Roman" w:hAnsi="Times New Roman" w:eastAsia="仿宋_GB2312" w:cs="Times New Roman"/>
          <w:color w:val="000000"/>
          <w:spacing w:val="0"/>
          <w:sz w:val="32"/>
        </w:rPr>
        <w:t>日在张家界进行，面试分为医学类岗位专业面试和其他类岗位结构化面试</w:t>
      </w:r>
      <w:r>
        <w:rPr>
          <w:rFonts w:hint="eastAsia" w:ascii="Times New Roman" w:hAnsi="Times New Roman" w:eastAsia="仿宋_GB2312" w:cs="Times New Roman"/>
          <w:color w:val="000000"/>
          <w:spacing w:val="0"/>
          <w:sz w:val="32"/>
        </w:rPr>
        <w:t>，</w:t>
      </w:r>
      <w:r>
        <w:rPr>
          <w:rFonts w:ascii="Times New Roman" w:hAnsi="Times New Roman" w:eastAsia="仿宋_GB2312" w:cs="Times New Roman"/>
          <w:color w:val="000000"/>
          <w:spacing w:val="0"/>
          <w:sz w:val="32"/>
        </w:rPr>
        <w:t>具体事宜另行通知。</w:t>
      </w:r>
    </w:p>
    <w:p>
      <w:pPr>
        <w:spacing w:line="600" w:lineRule="exact"/>
        <w:ind w:firstLine="640" w:firstLineChars="200"/>
        <w:rPr>
          <w:rFonts w:ascii="Times New Roman" w:hAnsi="Times New Roman" w:eastAsia="仿宋_GB2312" w:cs="Times New Roman"/>
          <w:spacing w:val="0"/>
        </w:rPr>
      </w:pPr>
      <w:r>
        <w:rPr>
          <w:rFonts w:hint="eastAsia" w:ascii="Times New Roman" w:eastAsia="仿宋_GB2312" w:cs="Times New Roman"/>
          <w:spacing w:val="0"/>
        </w:rPr>
        <w:t>引进</w:t>
      </w:r>
      <w:r>
        <w:rPr>
          <w:rFonts w:ascii="Times New Roman" w:eastAsia="仿宋_GB2312" w:cs="Times New Roman"/>
          <w:spacing w:val="0"/>
        </w:rPr>
        <w:t>医学类、计算机类专业的岗位面试不设开考比例</w:t>
      </w:r>
      <w:r>
        <w:rPr>
          <w:rFonts w:hint="eastAsia" w:ascii="Times New Roman" w:eastAsia="仿宋_GB2312" w:cs="Times New Roman"/>
          <w:spacing w:val="0"/>
        </w:rPr>
        <w:t>。引进</w:t>
      </w:r>
      <w:r>
        <w:rPr>
          <w:rFonts w:ascii="Times New Roman" w:eastAsia="仿宋_GB2312" w:cs="Times New Roman"/>
          <w:spacing w:val="0"/>
        </w:rPr>
        <w:t>其他类</w:t>
      </w:r>
      <w:r>
        <w:rPr>
          <w:rFonts w:hint="eastAsia" w:ascii="Times New Roman" w:hAnsi="Times New Roman" w:eastAsia="仿宋_GB2312" w:cs="Times New Roman"/>
          <w:color w:val="000000"/>
          <w:spacing w:val="0"/>
        </w:rPr>
        <w:t>专业的岗位</w:t>
      </w:r>
      <w:r>
        <w:rPr>
          <w:rFonts w:ascii="Times New Roman" w:hAnsi="Times New Roman" w:eastAsia="仿宋_GB2312" w:cs="Times New Roman"/>
          <w:color w:val="000000"/>
          <w:spacing w:val="0"/>
        </w:rPr>
        <w:t>面试开考比例（网上资格初审合格人数:岗位引进计划数）不得低于2:1，面试开考比例达不到2:1的岗位核减或取消引进计划。</w:t>
      </w:r>
      <w:r>
        <w:rPr>
          <w:rFonts w:ascii="Times New Roman" w:eastAsia="仿宋_GB2312" w:cs="Times New Roman"/>
          <w:color w:val="000000"/>
          <w:spacing w:val="0"/>
        </w:rPr>
        <w:t>所有岗位</w:t>
      </w:r>
      <w:r>
        <w:rPr>
          <w:rFonts w:ascii="Times New Roman" w:hAnsi="Times New Roman" w:eastAsia="仿宋_GB2312" w:cs="Times New Roman"/>
          <w:spacing w:val="0"/>
        </w:rPr>
        <w:t>面试成绩</w:t>
      </w:r>
      <w:r>
        <w:rPr>
          <w:rFonts w:ascii="Times New Roman" w:hAnsi="Times New Roman" w:eastAsia="仿宋_GB2312" w:cs="Times New Roman"/>
          <w:color w:val="000000"/>
          <w:spacing w:val="0"/>
        </w:rPr>
        <w:t>按100分制计算，设立70分的面试成绩合格线，即面试成绩低于70分的不能进入体检程序</w:t>
      </w:r>
      <w:r>
        <w:rPr>
          <w:rFonts w:ascii="Times New Roman" w:hAnsi="Times New Roman" w:eastAsia="仿宋_GB2312" w:cs="Times New Roman"/>
          <w:spacing w:val="0"/>
        </w:rPr>
        <w:t>。</w:t>
      </w:r>
    </w:p>
    <w:p>
      <w:pPr>
        <w:pStyle w:val="2"/>
        <w:spacing w:after="0" w:line="600" w:lineRule="exact"/>
        <w:ind w:left="0" w:leftChars="0" w:firstLine="640"/>
        <w:rPr>
          <w:rFonts w:ascii="Times New Roman" w:hAnsi="Times New Roman" w:cs="Times New Roman"/>
          <w:spacing w:val="0"/>
        </w:rPr>
      </w:pPr>
      <w:r>
        <w:rPr>
          <w:rFonts w:ascii="Times New Roman" w:hAnsi="Times New Roman" w:eastAsia="仿宋_GB2312" w:cs="Times New Roman"/>
          <w:color w:val="000000"/>
          <w:spacing w:val="0"/>
        </w:rPr>
        <w:t>报考人员为两院院士等A类高端人才的，实行“一事一议+特事特办”，无需进行考试、考核，直接进入体检、考察等程序。报考人员为博士学位、高级专业技术职务等B类高层次人才的，实行“免予考试+随到随引”，直接进行专业考核，由</w:t>
      </w:r>
      <w:r>
        <w:rPr>
          <w:rFonts w:hint="eastAsia" w:ascii="Times New Roman" w:hAnsi="Times New Roman" w:eastAsia="仿宋_GB2312" w:cs="Times New Roman"/>
          <w:color w:val="000000"/>
          <w:spacing w:val="0"/>
        </w:rPr>
        <w:t>用人</w:t>
      </w:r>
      <w:r>
        <w:rPr>
          <w:rFonts w:ascii="Times New Roman" w:hAnsi="Times New Roman" w:eastAsia="仿宋_GB2312" w:cs="Times New Roman"/>
          <w:color w:val="000000"/>
          <w:spacing w:val="0"/>
        </w:rPr>
        <w:t>单位组织实施，重点考核个人经历、专业能力和主要业绩等，考核合格的直接进入体检程序。报考人员为</w:t>
      </w:r>
      <w:r>
        <w:rPr>
          <w:rFonts w:ascii="Times New Roman" w:hAnsi="Times New Roman" w:eastAsia="仿宋_GB2312" w:cs="Times New Roman"/>
          <w:spacing w:val="0"/>
        </w:rPr>
        <w:t>实用型人才的，根据个人特长、需求情况等，由</w:t>
      </w:r>
      <w:r>
        <w:rPr>
          <w:rFonts w:ascii="Times New Roman" w:hAnsi="Times New Roman" w:eastAsia="仿宋_GB2312" w:cs="Times New Roman"/>
          <w:color w:val="000000"/>
          <w:spacing w:val="0"/>
        </w:rPr>
        <w:t>市委人才工作领导小组办公室</w:t>
      </w:r>
      <w:r>
        <w:rPr>
          <w:rFonts w:ascii="Times New Roman" w:hAnsi="Times New Roman" w:eastAsia="仿宋_GB2312" w:cs="Times New Roman"/>
          <w:spacing w:val="0"/>
        </w:rPr>
        <w:t>具体研究是否引进。</w:t>
      </w:r>
    </w:p>
    <w:p>
      <w:pPr>
        <w:pStyle w:val="10"/>
        <w:spacing w:beforeAutospacing="0" w:afterAutospacing="0" w:line="600" w:lineRule="exact"/>
        <w:ind w:firstLine="640" w:firstLineChars="200"/>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w:t>
      </w:r>
      <w:r>
        <w:rPr>
          <w:rFonts w:ascii="Times New Roman" w:hAnsi="Times New Roman" w:eastAsia="楷体_GB2312" w:cs="Times New Roman"/>
          <w:color w:val="000000"/>
          <w:spacing w:val="0"/>
          <w:sz w:val="32"/>
        </w:rPr>
        <w:t>四）体检</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rPr>
        <w:t>根据岗位引进计划数，按考生面试总分从高到低等额确定体检人员</w:t>
      </w:r>
      <w:r>
        <w:rPr>
          <w:rFonts w:ascii="Times New Roman" w:eastAsia="仿宋_GB2312" w:cs="Times New Roman"/>
          <w:spacing w:val="0"/>
          <w:sz w:val="32"/>
        </w:rPr>
        <w:t>。面试成绩相同的，按不去掉最高分和最低分的总分高低确定体检人员</w:t>
      </w:r>
      <w:r>
        <w:rPr>
          <w:rFonts w:ascii="Times New Roman" w:hAnsi="Times New Roman" w:eastAsia="仿宋_GB2312" w:cs="Times New Roman"/>
          <w:spacing w:val="0"/>
          <w:sz w:val="32"/>
        </w:rPr>
        <w:t>。</w:t>
      </w:r>
      <w:r>
        <w:rPr>
          <w:rFonts w:ascii="Times New Roman" w:hAnsi="Times New Roman" w:eastAsia="仿宋_GB2312" w:cs="Times New Roman"/>
          <w:color w:val="000000"/>
          <w:spacing w:val="0"/>
          <w:sz w:val="32"/>
        </w:rPr>
        <w:t>体</w:t>
      </w:r>
      <w:r>
        <w:rPr>
          <w:rFonts w:ascii="Times New Roman" w:hAnsi="Times New Roman" w:eastAsia="仿宋_GB2312" w:cs="Times New Roman"/>
          <w:spacing w:val="0"/>
          <w:sz w:val="32"/>
        </w:rPr>
        <w:t>检暂定</w:t>
      </w:r>
      <w:r>
        <w:rPr>
          <w:rFonts w:ascii="Times New Roman" w:hAnsi="Times New Roman" w:eastAsia="仿宋_GB2312" w:cs="Times New Roman"/>
          <w:color w:val="000000"/>
          <w:spacing w:val="0"/>
          <w:sz w:val="32"/>
        </w:rPr>
        <w:t>于12月2</w:t>
      </w:r>
      <w:r>
        <w:rPr>
          <w:rFonts w:hint="eastAsia" w:ascii="Times New Roman" w:hAnsi="Times New Roman" w:eastAsia="仿宋_GB2312" w:cs="Times New Roman"/>
          <w:color w:val="000000"/>
          <w:spacing w:val="0"/>
          <w:sz w:val="32"/>
        </w:rPr>
        <w:t>8</w:t>
      </w:r>
      <w:r>
        <w:rPr>
          <w:rFonts w:ascii="Times New Roman" w:hAnsi="Times New Roman" w:eastAsia="仿宋_GB2312" w:cs="Times New Roman"/>
          <w:color w:val="000000"/>
          <w:spacing w:val="0"/>
          <w:sz w:val="32"/>
        </w:rPr>
        <w:t>日在张家界进行，具体事宜另行通知。</w:t>
      </w:r>
    </w:p>
    <w:p>
      <w:pPr>
        <w:spacing w:line="60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体检由市委人才工作领导小组办公室统一组织，参照《公务员录用体检通用标准（试行）》等有关规定执行，</w:t>
      </w:r>
      <w:r>
        <w:rPr>
          <w:rFonts w:ascii="Times New Roman" w:hAnsi="Times New Roman" w:eastAsia="仿宋_GB2312" w:cs="Times New Roman"/>
          <w:spacing w:val="0"/>
        </w:rPr>
        <w:t>另增加吸毒和新冠肺炎核酸检测项目。</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不按规定要求进行体检的，视为放弃体检。考生在体检过程中弄虚作假或者故意隐瞒真实情况的，按有关规定处理。</w:t>
      </w:r>
    </w:p>
    <w:p>
      <w:pPr>
        <w:pStyle w:val="10"/>
        <w:spacing w:beforeAutospacing="0" w:afterAutospacing="0" w:line="600" w:lineRule="exact"/>
        <w:ind w:firstLine="640" w:firstLineChars="200"/>
        <w:jc w:val="both"/>
        <w:rPr>
          <w:rFonts w:ascii="Times New Roman" w:hAnsi="Times New Roman" w:eastAsia="楷体_GB2312" w:cs="Times New Roman"/>
          <w:color w:val="000000"/>
          <w:spacing w:val="0"/>
          <w:sz w:val="32"/>
        </w:rPr>
      </w:pPr>
      <w:r>
        <w:rPr>
          <w:rFonts w:ascii="Times New Roman" w:hAnsi="Times New Roman" w:eastAsia="楷体_GB2312" w:cs="Times New Roman"/>
          <w:color w:val="000000"/>
          <w:spacing w:val="0"/>
          <w:sz w:val="32"/>
        </w:rPr>
        <w:t>（五）考察</w:t>
      </w:r>
    </w:p>
    <w:p>
      <w:pPr>
        <w:spacing w:line="60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color w:val="000000"/>
          <w:spacing w:val="0"/>
        </w:rPr>
        <w:t>体检合格者进入考察程序。</w:t>
      </w:r>
      <w:r>
        <w:rPr>
          <w:rFonts w:ascii="Times New Roman" w:eastAsia="仿宋_GB2312" w:cs="Times New Roman"/>
          <w:spacing w:val="0"/>
        </w:rPr>
        <w:t>用人单位收到体检合格人员名单后</w:t>
      </w:r>
      <w:r>
        <w:rPr>
          <w:rFonts w:ascii="Times New Roman" w:hAnsi="Times New Roman" w:eastAsia="仿宋_GB2312" w:cs="Times New Roman"/>
          <w:spacing w:val="0"/>
        </w:rPr>
        <w:t>30</w:t>
      </w:r>
      <w:r>
        <w:rPr>
          <w:rFonts w:ascii="Times New Roman" w:eastAsia="仿宋_GB2312" w:cs="Times New Roman"/>
          <w:spacing w:val="0"/>
        </w:rPr>
        <w:t>个工作日完成考察，因人员递补需再次考察的，须在明确递补人员后</w:t>
      </w:r>
      <w:r>
        <w:rPr>
          <w:rFonts w:ascii="Times New Roman" w:hAnsi="Times New Roman" w:eastAsia="仿宋_GB2312" w:cs="Times New Roman"/>
          <w:spacing w:val="0"/>
        </w:rPr>
        <w:t>15</w:t>
      </w:r>
      <w:r>
        <w:rPr>
          <w:rFonts w:ascii="Times New Roman" w:eastAsia="仿宋_GB2312" w:cs="Times New Roman"/>
          <w:spacing w:val="0"/>
        </w:rPr>
        <w:t>个工作日内完成考察。用人单位下发考察通知</w:t>
      </w:r>
      <w:r>
        <w:rPr>
          <w:rFonts w:ascii="Times New Roman" w:hAnsi="Times New Roman" w:eastAsia="仿宋_GB2312" w:cs="Times New Roman"/>
          <w:spacing w:val="0"/>
        </w:rPr>
        <w:t>7</w:t>
      </w:r>
      <w:r>
        <w:rPr>
          <w:rFonts w:ascii="Times New Roman" w:eastAsia="仿宋_GB2312" w:cs="Times New Roman"/>
          <w:spacing w:val="0"/>
        </w:rPr>
        <w:t>个工作日内，应聘人员本人不配合导致考察工作无法进行的，视为自动放弃。</w:t>
      </w:r>
    </w:p>
    <w:p>
      <w:pPr>
        <w:spacing w:line="60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用人单位成立考察组进行考察，突出政治标准，重点考察</w:t>
      </w:r>
      <w:r>
        <w:rPr>
          <w:rFonts w:hint="eastAsia" w:ascii="Times New Roman" w:hAnsi="Times New Roman" w:eastAsia="仿宋_GB2312" w:cs="Times New Roman"/>
          <w:color w:val="000000"/>
          <w:spacing w:val="0"/>
        </w:rPr>
        <w:t>应聘人员</w:t>
      </w:r>
      <w:r>
        <w:rPr>
          <w:rFonts w:ascii="Times New Roman" w:hAnsi="Times New Roman" w:eastAsia="仿宋_GB2312" w:cs="Times New Roman"/>
          <w:color w:val="000000"/>
          <w:spacing w:val="0"/>
        </w:rPr>
        <w:t>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做出考察结论。</w:t>
      </w:r>
      <w:r>
        <w:rPr>
          <w:rFonts w:ascii="Times New Roman" w:hAnsi="Times New Roman" w:eastAsia="仿宋_GB2312" w:cs="Times New Roman"/>
          <w:spacing w:val="0"/>
        </w:rPr>
        <w:t>引进计划出现空缺时，按照</w:t>
      </w:r>
      <w:r>
        <w:rPr>
          <w:rFonts w:hint="eastAsia" w:ascii="Times New Roman" w:hAnsi="Times New Roman" w:eastAsia="仿宋_GB2312" w:cs="Times New Roman"/>
          <w:spacing w:val="0"/>
        </w:rPr>
        <w:t>引进</w:t>
      </w:r>
      <w:r>
        <w:rPr>
          <w:rFonts w:ascii="Times New Roman" w:hAnsi="Times New Roman" w:eastAsia="仿宋_GB2312" w:cs="Times New Roman"/>
          <w:spacing w:val="0"/>
        </w:rPr>
        <w:t>同一岗位的面试、体检、考察结果依次等额递补，递补最多不超过2次。</w:t>
      </w:r>
    </w:p>
    <w:p>
      <w:pPr>
        <w:pStyle w:val="10"/>
        <w:spacing w:beforeAutospacing="0" w:afterAutospacing="0" w:line="600" w:lineRule="exact"/>
        <w:ind w:firstLine="640" w:firstLineChars="200"/>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w:t>
      </w:r>
      <w:r>
        <w:rPr>
          <w:rFonts w:ascii="Times New Roman" w:hAnsi="Times New Roman" w:eastAsia="楷体_GB2312" w:cs="Times New Roman"/>
          <w:color w:val="000000"/>
          <w:spacing w:val="0"/>
          <w:sz w:val="32"/>
        </w:rPr>
        <w:t>六）公示与聘用</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用人单位党委（党组）根据考察结果研究提出拟引进人选。拟引进人</w:t>
      </w:r>
      <w:r>
        <w:rPr>
          <w:rFonts w:hint="eastAsia" w:ascii="Times New Roman" w:hAnsi="Times New Roman" w:eastAsia="仿宋_GB2312" w:cs="Times New Roman"/>
          <w:color w:val="000000"/>
          <w:spacing w:val="0"/>
          <w:sz w:val="32"/>
        </w:rPr>
        <w:t>选</w:t>
      </w:r>
      <w:r>
        <w:rPr>
          <w:rFonts w:ascii="Times New Roman" w:hAnsi="Times New Roman" w:eastAsia="仿宋_GB2312" w:cs="Times New Roman"/>
          <w:color w:val="000000"/>
          <w:spacing w:val="0"/>
          <w:sz w:val="32"/>
        </w:rPr>
        <w:t>确定后进行公示，公示期为7个工作日。</w:t>
      </w:r>
    </w:p>
    <w:p>
      <w:pPr>
        <w:spacing w:line="60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公示无异议的，报市委人才工作领导小组办公室认定后，通知拟引进人才7个工作日内到岗，在30个工作日办理聘用（调动）、入编手续并签订聘用合同，按规定约定试用期。试用期满合格的，予以正式聘用；不合格的，取消聘用。引进人才须在用人单位服务五年以上（自办理聘用手续之日起计算）。</w:t>
      </w:r>
      <w:r>
        <w:rPr>
          <w:rFonts w:ascii="Times New Roman" w:eastAsia="仿宋_GB2312" w:cs="Times New Roman"/>
          <w:spacing w:val="0"/>
        </w:rPr>
        <w:t>因拟引进人才个人原因，无法在规定时间内办理相关手续的，视为自动放弃。</w:t>
      </w:r>
      <w:r>
        <w:rPr>
          <w:rFonts w:ascii="Times New Roman" w:hAnsi="Times New Roman" w:eastAsia="仿宋_GB2312" w:cs="Times New Roman"/>
          <w:color w:val="000000"/>
          <w:spacing w:val="0"/>
        </w:rPr>
        <w:t>与用人单位签订聘用合同后放弃的，记入张家界市人才引进诚信档案。</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对反映有影响聘用的问题并查有实据的，不予聘用。对反映的问题一时难以查实的，暂缓聘用，待查清后再决定是否聘用。自做出暂缓聘用结论之日起90日内，反映的问题仍未查实的，终止聘用程序。为保护个人权益，反映问题时须实名反映并提供相关线索或证据。</w:t>
      </w:r>
    </w:p>
    <w:p>
      <w:pPr>
        <w:pStyle w:val="10"/>
        <w:spacing w:beforeAutospacing="0" w:afterAutospacing="0" w:line="600" w:lineRule="exact"/>
        <w:ind w:firstLine="640" w:firstLineChars="200"/>
        <w:jc w:val="both"/>
        <w:rPr>
          <w:rFonts w:ascii="Times New Roman" w:hAnsi="Times New Roman" w:eastAsia="黑体" w:cs="Times New Roman"/>
          <w:color w:val="000000"/>
          <w:spacing w:val="0"/>
          <w:sz w:val="32"/>
        </w:rPr>
      </w:pPr>
      <w:r>
        <w:rPr>
          <w:rFonts w:ascii="Times New Roman" w:hAnsi="Times New Roman" w:eastAsia="黑体" w:cs="Times New Roman"/>
          <w:spacing w:val="0"/>
          <w:sz w:val="32"/>
        </w:rPr>
        <w:t>四、引进待遇</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引进待遇按照《张家界市人才引进实施办法》等有关规定执行。</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（一）工资待遇。</w:t>
      </w:r>
      <w:r>
        <w:rPr>
          <w:rFonts w:ascii="Times New Roman" w:hAnsi="Times New Roman" w:eastAsia="仿宋_GB2312" w:cs="Times New Roman"/>
          <w:color w:val="000000"/>
          <w:spacing w:val="0"/>
          <w:sz w:val="32"/>
        </w:rPr>
        <w:t>按照国家事业单位工资规定执行。</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（二）职级待遇。</w:t>
      </w:r>
      <w:r>
        <w:rPr>
          <w:rFonts w:ascii="Times New Roman" w:hAnsi="Times New Roman" w:eastAsia="仿宋_GB2312" w:cs="Times New Roman"/>
          <w:spacing w:val="0"/>
          <w:sz w:val="32"/>
        </w:rPr>
        <w:t>在事业单位管理岗位工作并获得相应学位的博士、硕士研究生，可按相关规定分别享受七级职员、八级职员职务经济待遇；在专业技术岗位上工作的博士、硕士研究生经</w:t>
      </w:r>
      <w:r>
        <w:rPr>
          <w:rFonts w:ascii="Times New Roman" w:hAnsi="Times New Roman" w:eastAsia="仿宋_GB2312" w:cs="Times New Roman"/>
          <w:color w:val="000000"/>
          <w:spacing w:val="0"/>
          <w:sz w:val="32"/>
        </w:rPr>
        <w:t>认定符合相关条件的可分别享受副高、中级专业技术职务经济待遇。</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楷体_GB2312" w:cs="Times New Roman"/>
          <w:color w:val="000000"/>
          <w:spacing w:val="0"/>
          <w:sz w:val="32"/>
        </w:rPr>
        <w:t>（三）享受购房补助、安家费和生活补助。</w:t>
      </w:r>
      <w:r>
        <w:rPr>
          <w:rFonts w:ascii="Times New Roman" w:hAnsi="Times New Roman" w:eastAsia="仿宋_GB2312" w:cs="Times New Roman"/>
          <w:spacing w:val="0"/>
          <w:sz w:val="32"/>
        </w:rPr>
        <w:t>具有博士学位或正高级专业技术职务的人才</w:t>
      </w:r>
      <w:r>
        <w:rPr>
          <w:rFonts w:ascii="Times New Roman" w:hAnsi="Times New Roman" w:eastAsia="仿宋_GB2312" w:cs="Times New Roman"/>
          <w:color w:val="000000"/>
          <w:spacing w:val="0"/>
          <w:sz w:val="32"/>
        </w:rPr>
        <w:t>享受购房补助30万元、安家费10万元、五年内每月生活补助2000元</w:t>
      </w:r>
      <w:r>
        <w:rPr>
          <w:rFonts w:ascii="Times New Roman" w:hAnsi="Times New Roman" w:eastAsia="仿宋_GB2312" w:cs="Times New Roman"/>
          <w:spacing w:val="0"/>
          <w:sz w:val="32"/>
        </w:rPr>
        <w:t>；具有副高级专业技术职务的人才享受</w:t>
      </w:r>
      <w:r>
        <w:rPr>
          <w:rFonts w:ascii="Times New Roman" w:hAnsi="Times New Roman" w:eastAsia="仿宋_GB2312" w:cs="Times New Roman"/>
          <w:color w:val="000000"/>
          <w:spacing w:val="0"/>
          <w:sz w:val="32"/>
        </w:rPr>
        <w:t>购房补助10万元、安家费3万元、五年内每月生活补助1500元</w:t>
      </w:r>
      <w:r>
        <w:rPr>
          <w:rFonts w:ascii="Times New Roman" w:hAnsi="Times New Roman" w:eastAsia="仿宋_GB2312" w:cs="Times New Roman"/>
          <w:spacing w:val="0"/>
          <w:sz w:val="32"/>
        </w:rPr>
        <w:t>；硕士研究生</w:t>
      </w:r>
      <w:r>
        <w:rPr>
          <w:rFonts w:ascii="Times New Roman" w:hAnsi="Times New Roman" w:eastAsia="仿宋_GB2312" w:cs="Times New Roman"/>
          <w:color w:val="000000"/>
          <w:spacing w:val="0"/>
          <w:sz w:val="32"/>
        </w:rPr>
        <w:t>享受购房补助4万元、安家费3万元、五年内每月生活补助1000元。上述购房补助在张家界市城区内购房后分两次发放。</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（四）享受人才服务“绿卡”待遇。</w:t>
      </w:r>
      <w:r>
        <w:rPr>
          <w:rFonts w:ascii="Times New Roman" w:hAnsi="Times New Roman" w:eastAsia="仿宋_GB2312" w:cs="Times New Roman"/>
          <w:color w:val="000000"/>
          <w:spacing w:val="0"/>
          <w:sz w:val="32"/>
        </w:rPr>
        <w:t>享受免费进景区、医疗优待和子女就近入学等优待服务。</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hint="eastAsia" w:ascii="Times New Roman" w:hAnsi="Times New Roman" w:eastAsia="楷体_GB2312" w:cs="Times New Roman"/>
          <w:color w:val="000000"/>
          <w:spacing w:val="0"/>
          <w:sz w:val="32"/>
        </w:rPr>
        <w:t>（五）其他待遇。</w:t>
      </w:r>
      <w:r>
        <w:rPr>
          <w:rFonts w:ascii="Times New Roman" w:hAnsi="Times New Roman" w:eastAsia="仿宋_GB2312"/>
          <w:sz w:val="32"/>
        </w:rPr>
        <w:t>引进的</w:t>
      </w:r>
      <w:r>
        <w:rPr>
          <w:rFonts w:hint="eastAsia" w:ascii="Times New Roman" w:hAnsi="Times New Roman" w:eastAsia="仿宋_GB2312"/>
          <w:sz w:val="32"/>
        </w:rPr>
        <w:t>B类及以上</w:t>
      </w:r>
      <w:r>
        <w:rPr>
          <w:rFonts w:ascii="Times New Roman" w:hAnsi="Times New Roman" w:eastAsia="仿宋_GB2312"/>
          <w:sz w:val="32"/>
        </w:rPr>
        <w:t>高层次人才，其配偶在外地党政机关、事业单位或国有企业工作的，可按照同级对口原则调入我市党政机关、事业单位或国有企业工作</w:t>
      </w:r>
      <w:r>
        <w:rPr>
          <w:rFonts w:hint="eastAsia" w:ascii="Times New Roman" w:hAnsi="Times New Roman" w:eastAsia="仿宋_GB2312"/>
          <w:sz w:val="32"/>
        </w:rPr>
        <w:t>。</w:t>
      </w:r>
    </w:p>
    <w:p>
      <w:pPr>
        <w:pStyle w:val="10"/>
        <w:spacing w:beforeAutospacing="0" w:afterAutospacing="0" w:line="600" w:lineRule="exact"/>
        <w:ind w:firstLine="640" w:firstLineChars="200"/>
        <w:jc w:val="both"/>
        <w:rPr>
          <w:rFonts w:ascii="Times New Roman" w:hAnsi="Times New Roman" w:eastAsia="黑体" w:cs="Times New Roman"/>
          <w:color w:val="000000"/>
          <w:spacing w:val="0"/>
          <w:sz w:val="32"/>
        </w:rPr>
      </w:pPr>
      <w:r>
        <w:rPr>
          <w:rFonts w:ascii="Times New Roman" w:hAnsi="Times New Roman" w:eastAsia="黑体" w:cs="Times New Roman"/>
          <w:spacing w:val="0"/>
          <w:sz w:val="32"/>
        </w:rPr>
        <w:t>五、纪律与监督</w:t>
      </w:r>
    </w:p>
    <w:p>
      <w:pPr>
        <w:pStyle w:val="10"/>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市纪委监委驻市委组织部、市直各用人单位纪检监察组分别按职责分工对人才引进工作进行全过程监督。同时，接受社会监督。对有关人员在人才引进过程中违法违纪违规的，要依法依纪依规进行处理。</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本《公告》及未尽事宜由市委人才工作领导小组办公室、市人力资源和社会保障局负责解释。</w:t>
      </w:r>
    </w:p>
    <w:p>
      <w:pPr>
        <w:pStyle w:val="10"/>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咨询电话：0744</w:t>
      </w:r>
      <w:r>
        <w:rPr>
          <w:rFonts w:hint="eastAsia" w:ascii="Times New Roman" w:hAnsi="Times New Roman" w:eastAsia="仿宋_GB2312" w:cs="Times New Roman"/>
          <w:color w:val="000000"/>
          <w:spacing w:val="0"/>
          <w:sz w:val="32"/>
        </w:rPr>
        <w:t>—</w:t>
      </w:r>
      <w:r>
        <w:rPr>
          <w:rFonts w:ascii="Times New Roman" w:hAnsi="Times New Roman" w:eastAsia="仿宋_GB2312" w:cs="Times New Roman"/>
          <w:color w:val="000000"/>
          <w:spacing w:val="0"/>
          <w:sz w:val="32"/>
        </w:rPr>
        <w:t>8201859（中共张家界市委人才工作领导小组办公室）、0744</w:t>
      </w:r>
      <w:r>
        <w:rPr>
          <w:rFonts w:hint="eastAsia" w:ascii="Times New Roman" w:hAnsi="Times New Roman" w:eastAsia="仿宋_GB2312" w:cs="Times New Roman"/>
          <w:color w:val="000000"/>
          <w:spacing w:val="0"/>
          <w:sz w:val="32"/>
        </w:rPr>
        <w:t>—</w:t>
      </w:r>
      <w:r>
        <w:rPr>
          <w:rFonts w:ascii="Times New Roman" w:hAnsi="Times New Roman" w:eastAsia="仿宋_GB2312" w:cs="Times New Roman"/>
          <w:color w:val="000000"/>
          <w:spacing w:val="0"/>
          <w:sz w:val="32"/>
        </w:rPr>
        <w:t>8228097（</w:t>
      </w:r>
      <w:r>
        <w:rPr>
          <w:rFonts w:ascii="Times New Roman" w:hAnsi="Times New Roman" w:eastAsia="仿宋_GB2312" w:cs="Times New Roman"/>
          <w:color w:val="000000" w:themeColor="text1"/>
          <w:spacing w:val="0"/>
          <w:sz w:val="32"/>
        </w:rPr>
        <w:t>张家界市人力资源和社会保障局人力资源流动管理科</w:t>
      </w:r>
      <w:r>
        <w:rPr>
          <w:rFonts w:ascii="Times New Roman" w:hAnsi="Times New Roman" w:eastAsia="仿宋_GB2312" w:cs="Times New Roman"/>
          <w:color w:val="000000"/>
          <w:spacing w:val="0"/>
          <w:sz w:val="32"/>
        </w:rPr>
        <w:t>）</w:t>
      </w:r>
    </w:p>
    <w:p>
      <w:pPr>
        <w:spacing w:line="600" w:lineRule="exact"/>
        <w:ind w:firstLine="640" w:firstLineChars="200"/>
        <w:rPr>
          <w:rFonts w:ascii="Times New Roman" w:hAnsi="Times New Roman" w:eastAsia="仿宋_GB2312" w:cs="Times New Roman"/>
          <w:color w:val="000000"/>
          <w:spacing w:val="0"/>
        </w:rPr>
      </w:pPr>
    </w:p>
    <w:p>
      <w:pPr>
        <w:spacing w:line="60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附件：张家界市市直事业单位2022年公开引进急需紧缺</w:t>
      </w:r>
    </w:p>
    <w:p>
      <w:pPr>
        <w:spacing w:line="600" w:lineRule="exact"/>
        <w:ind w:firstLine="1609" w:firstLineChars="503"/>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人才职位计划表</w:t>
      </w:r>
    </w:p>
    <w:p>
      <w:pPr>
        <w:pStyle w:val="2"/>
        <w:spacing w:after="0" w:line="600" w:lineRule="exact"/>
        <w:ind w:left="0" w:leftChars="0" w:firstLine="0" w:firstLineChars="0"/>
        <w:rPr>
          <w:rFonts w:ascii="Times New Roman" w:hAnsi="Times New Roman" w:cs="Times New Roman"/>
        </w:rPr>
      </w:pPr>
    </w:p>
    <w:p>
      <w:pPr>
        <w:pStyle w:val="2"/>
        <w:spacing w:after="0" w:line="600" w:lineRule="exact"/>
        <w:ind w:left="0" w:leftChars="0" w:firstLine="0" w:firstLineChars="0"/>
        <w:rPr>
          <w:rFonts w:ascii="Times New Roman" w:hAnsi="Times New Roman" w:cs="Times New Roman"/>
        </w:rPr>
      </w:pPr>
    </w:p>
    <w:tbl>
      <w:tblPr>
        <w:tblStyle w:val="11"/>
        <w:tblW w:w="0" w:type="auto"/>
        <w:tblInd w:w="2518" w:type="dxa"/>
        <w:tblLayout w:type="autofit"/>
        <w:tblCellMar>
          <w:top w:w="0" w:type="dxa"/>
          <w:left w:w="108" w:type="dxa"/>
          <w:bottom w:w="0" w:type="dxa"/>
          <w:right w:w="108" w:type="dxa"/>
        </w:tblCellMar>
      </w:tblPr>
      <w:tblGrid>
        <w:gridCol w:w="5954"/>
      </w:tblGrid>
      <w:tr>
        <w:tblPrEx>
          <w:tblCellMar>
            <w:top w:w="0" w:type="dxa"/>
            <w:left w:w="108" w:type="dxa"/>
            <w:bottom w:w="0" w:type="dxa"/>
            <w:right w:w="108" w:type="dxa"/>
          </w:tblCellMar>
        </w:tblPrEx>
        <w:tc>
          <w:tcPr>
            <w:tcW w:w="5954" w:type="dxa"/>
          </w:tcPr>
          <w:p>
            <w:pPr>
              <w:spacing w:line="600" w:lineRule="exact"/>
              <w:jc w:val="distribute"/>
              <w:rPr>
                <w:rFonts w:ascii="Times New Roman" w:hAnsi="Times New Roman" w:cs="Times New Roman"/>
                <w:spacing w:val="-4"/>
              </w:rPr>
            </w:pPr>
            <w:r>
              <w:rPr>
                <w:rFonts w:ascii="Times New Roman" w:hAnsi="Times New Roman" w:eastAsia="仿宋_GB2312" w:cs="Times New Roman"/>
                <w:color w:val="000000"/>
                <w:spacing w:val="-4"/>
              </w:rPr>
              <w:t>中共张家界市委人才工作领导小组办公室</w:t>
            </w:r>
          </w:p>
        </w:tc>
      </w:tr>
      <w:tr>
        <w:tblPrEx>
          <w:tblCellMar>
            <w:top w:w="0" w:type="dxa"/>
            <w:left w:w="108" w:type="dxa"/>
            <w:bottom w:w="0" w:type="dxa"/>
            <w:right w:w="108" w:type="dxa"/>
          </w:tblCellMar>
        </w:tblPrEx>
        <w:tc>
          <w:tcPr>
            <w:tcW w:w="5954" w:type="dxa"/>
          </w:tcPr>
          <w:p>
            <w:pPr>
              <w:spacing w:line="600" w:lineRule="exact"/>
              <w:jc w:val="distribute"/>
              <w:rPr>
                <w:rFonts w:ascii="Times New Roman" w:hAnsi="Times New Roman" w:cs="Times New Roman"/>
              </w:rPr>
            </w:pPr>
            <w:r>
              <w:rPr>
                <w:rFonts w:ascii="Times New Roman" w:hAnsi="Times New Roman" w:eastAsia="仿宋_GB2312" w:cs="Times New Roman"/>
                <w:color w:val="000000"/>
                <w:spacing w:val="0"/>
              </w:rPr>
              <w:t>张家界市人力资源和社会保障局</w:t>
            </w:r>
          </w:p>
        </w:tc>
      </w:tr>
    </w:tbl>
    <w:p>
      <w:pPr>
        <w:spacing w:line="600" w:lineRule="exact"/>
        <w:ind w:right="640"/>
        <w:jc w:val="center"/>
        <w:rPr>
          <w:rFonts w:ascii="Times New Roman" w:hAnsi="Times New Roman" w:eastAsia="仿宋_GB2312" w:cs="Times New Roman"/>
          <w:spacing w:val="0"/>
        </w:rPr>
      </w:pPr>
      <w:r>
        <w:rPr>
          <w:rFonts w:ascii="Times New Roman" w:hAnsi="Times New Roman" w:eastAsia="仿宋_GB2312" w:cs="Times New Roman"/>
          <w:spacing w:val="0"/>
        </w:rPr>
        <w:t xml:space="preserve"> </w:t>
      </w:r>
      <w:r>
        <w:rPr>
          <w:rFonts w:hint="eastAsia" w:ascii="Times New Roman" w:hAnsi="Times New Roman" w:eastAsia="仿宋_GB2312" w:cs="Times New Roman"/>
          <w:spacing w:val="0"/>
        </w:rPr>
        <w:t xml:space="preserve">              </w:t>
      </w:r>
      <w:r>
        <w:rPr>
          <w:rFonts w:ascii="Times New Roman" w:hAnsi="Times New Roman" w:eastAsia="仿宋_GB2312" w:cs="Times New Roman"/>
          <w:spacing w:val="0"/>
        </w:rPr>
        <w:t xml:space="preserve"> 2021年11月</w:t>
      </w:r>
      <w:r>
        <w:rPr>
          <w:rFonts w:hint="eastAsia" w:ascii="Times New Roman" w:hAnsi="Times New Roman" w:eastAsia="仿宋_GB2312" w:cs="Times New Roman"/>
          <w:spacing w:val="0"/>
        </w:rPr>
        <w:t>30</w:t>
      </w:r>
      <w:r>
        <w:rPr>
          <w:rFonts w:ascii="Times New Roman" w:hAnsi="Times New Roman" w:eastAsia="仿宋_GB2312" w:cs="Times New Roman"/>
          <w:spacing w:val="0"/>
        </w:rPr>
        <w:t>日</w:t>
      </w:r>
    </w:p>
    <w:p>
      <w:pPr>
        <w:pStyle w:val="2"/>
        <w:ind w:left="616" w:firstLine="616"/>
        <w:rPr>
          <w:rFonts w:ascii="Times New Roman" w:hAnsi="Times New Roman" w:cs="Times New Roman"/>
        </w:rPr>
      </w:pPr>
    </w:p>
    <w:p>
      <w:pPr>
        <w:spacing w:line="600" w:lineRule="exact"/>
        <w:rPr>
          <w:rFonts w:ascii="Times New Roman" w:hAnsi="Times New Roman" w:eastAsia="仿宋_GB2312" w:cs="Times New Roman"/>
          <w:color w:val="000000"/>
        </w:rPr>
        <w:sectPr>
          <w:headerReference r:id="rId3" w:type="default"/>
          <w:footerReference r:id="rId4" w:type="default"/>
          <w:footerReference r:id="rId5" w:type="even"/>
          <w:pgSz w:w="11906" w:h="16838"/>
          <w:pgMar w:top="1588" w:right="1588" w:bottom="1474" w:left="1588" w:header="851" w:footer="992" w:gutter="0"/>
          <w:pgNumType w:fmt="numberInDash"/>
          <w:cols w:space="0" w:num="1"/>
          <w:docGrid w:type="lines" w:linePitch="435" w:charSpace="0"/>
        </w:sectPr>
      </w:pPr>
      <w:r>
        <w:rPr>
          <w:rFonts w:hint="eastAsia" w:ascii="Times New Roman" w:hAnsi="Times New Roman" w:eastAsia="仿宋_GB2312" w:cs="Times New Roman"/>
          <w:color w:val="000000"/>
        </w:rPr>
        <w:t xml:space="preserve"> </w:t>
      </w:r>
    </w:p>
    <w:p>
      <w:pPr>
        <w:spacing w:line="600" w:lineRule="exact"/>
        <w:jc w:val="left"/>
        <w:rPr>
          <w:rFonts w:ascii="Times New Roman" w:hAnsi="Times New Roman" w:eastAsia="黑体" w:cs="Times New Roman"/>
          <w:color w:val="000000"/>
        </w:rPr>
      </w:pPr>
      <w:r>
        <w:rPr>
          <w:rFonts w:ascii="Times New Roman" w:hAnsi="Times New Roman" w:eastAsia="黑体" w:cs="Times New Roman"/>
          <w:color w:val="000000"/>
        </w:rPr>
        <w:t>附件</w:t>
      </w:r>
    </w:p>
    <w:p>
      <w:pPr>
        <w:spacing w:line="60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张家界市市直事业单位2022年公开引进急需紧缺人才职位计划表</w:t>
      </w:r>
    </w:p>
    <w:tbl>
      <w:tblPr>
        <w:tblStyle w:val="11"/>
        <w:tblW w:w="14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5"/>
        <w:gridCol w:w="2070"/>
        <w:gridCol w:w="900"/>
        <w:gridCol w:w="561"/>
        <w:gridCol w:w="600"/>
        <w:gridCol w:w="1017"/>
        <w:gridCol w:w="1127"/>
        <w:gridCol w:w="2264"/>
        <w:gridCol w:w="1082"/>
        <w:gridCol w:w="1240"/>
        <w:gridCol w:w="1197"/>
        <w:gridCol w:w="1027"/>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425" w:type="dxa"/>
            <w:vMerge w:val="restart"/>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序号</w:t>
            </w:r>
          </w:p>
        </w:tc>
        <w:tc>
          <w:tcPr>
            <w:tcW w:w="2070" w:type="dxa"/>
            <w:vMerge w:val="restart"/>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引进单位</w:t>
            </w:r>
            <w:r>
              <w:rPr>
                <w:rFonts w:ascii="Times New Roman" w:hAnsi="Times New Roman" w:eastAsia="宋体" w:cs="Times New Roman"/>
                <w:b/>
                <w:kern w:val="0"/>
                <w:sz w:val="22"/>
                <w:szCs w:val="22"/>
              </w:rPr>
              <w:br w:type="textWrapping"/>
            </w:r>
            <w:r>
              <w:rPr>
                <w:rFonts w:ascii="Times New Roman" w:hAnsi="宋体" w:eastAsia="宋体" w:cs="Times New Roman"/>
                <w:b/>
                <w:kern w:val="0"/>
                <w:sz w:val="22"/>
                <w:szCs w:val="22"/>
              </w:rPr>
              <w:t>名称</w:t>
            </w:r>
          </w:p>
        </w:tc>
        <w:tc>
          <w:tcPr>
            <w:tcW w:w="900" w:type="dxa"/>
            <w:vMerge w:val="restart"/>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w:t>
            </w:r>
            <w:r>
              <w:rPr>
                <w:rFonts w:ascii="Times New Roman" w:hAnsi="Times New Roman" w:eastAsia="宋体" w:cs="Times New Roman"/>
                <w:b/>
                <w:kern w:val="0"/>
                <w:sz w:val="22"/>
                <w:szCs w:val="22"/>
              </w:rPr>
              <w:br w:type="textWrapping"/>
            </w:r>
            <w:r>
              <w:rPr>
                <w:rFonts w:ascii="Times New Roman" w:hAnsi="宋体" w:eastAsia="宋体" w:cs="Times New Roman"/>
                <w:b/>
                <w:kern w:val="0"/>
                <w:sz w:val="22"/>
                <w:szCs w:val="22"/>
              </w:rPr>
              <w:t>岗位</w:t>
            </w:r>
          </w:p>
        </w:tc>
        <w:tc>
          <w:tcPr>
            <w:tcW w:w="1161" w:type="dxa"/>
            <w:gridSpan w:val="2"/>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引进计划</w:t>
            </w:r>
          </w:p>
        </w:tc>
        <w:tc>
          <w:tcPr>
            <w:tcW w:w="6730" w:type="dxa"/>
            <w:gridSpan w:val="5"/>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引进对象报名要求</w:t>
            </w:r>
          </w:p>
        </w:tc>
        <w:tc>
          <w:tcPr>
            <w:tcW w:w="1197" w:type="dxa"/>
            <w:vMerge w:val="restart"/>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引进单位待遇</w:t>
            </w:r>
          </w:p>
        </w:tc>
        <w:tc>
          <w:tcPr>
            <w:tcW w:w="2471" w:type="dxa"/>
            <w:gridSpan w:val="2"/>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引进单位联系方式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425" w:type="dxa"/>
            <w:vMerge w:val="continue"/>
            <w:shd w:val="clear" w:color="auto" w:fill="auto"/>
            <w:vAlign w:val="center"/>
          </w:tcPr>
          <w:p>
            <w:pPr>
              <w:spacing w:line="340" w:lineRule="exact"/>
              <w:jc w:val="center"/>
              <w:rPr>
                <w:rFonts w:ascii="Times New Roman" w:hAnsi="Times New Roman" w:eastAsia="宋体" w:cs="Times New Roman"/>
                <w:b/>
                <w:sz w:val="22"/>
                <w:szCs w:val="22"/>
              </w:rPr>
            </w:pPr>
          </w:p>
        </w:tc>
        <w:tc>
          <w:tcPr>
            <w:tcW w:w="2070" w:type="dxa"/>
            <w:vMerge w:val="continue"/>
            <w:shd w:val="clear" w:color="auto" w:fill="auto"/>
            <w:vAlign w:val="center"/>
          </w:tcPr>
          <w:p>
            <w:pPr>
              <w:spacing w:line="340" w:lineRule="exact"/>
              <w:jc w:val="center"/>
              <w:rPr>
                <w:rFonts w:ascii="Times New Roman" w:hAnsi="Times New Roman" w:eastAsia="宋体" w:cs="Times New Roman"/>
                <w:b/>
                <w:sz w:val="22"/>
                <w:szCs w:val="22"/>
              </w:rPr>
            </w:pPr>
          </w:p>
        </w:tc>
        <w:tc>
          <w:tcPr>
            <w:tcW w:w="900" w:type="dxa"/>
            <w:vMerge w:val="continue"/>
            <w:shd w:val="clear" w:color="auto" w:fill="auto"/>
            <w:vAlign w:val="center"/>
          </w:tcPr>
          <w:p>
            <w:pPr>
              <w:spacing w:line="340" w:lineRule="exact"/>
              <w:jc w:val="center"/>
              <w:rPr>
                <w:rFonts w:ascii="Times New Roman" w:hAnsi="Times New Roman" w:eastAsia="宋体" w:cs="Times New Roman"/>
                <w:b/>
                <w:sz w:val="22"/>
                <w:szCs w:val="22"/>
              </w:rPr>
            </w:pPr>
          </w:p>
        </w:tc>
        <w:tc>
          <w:tcPr>
            <w:tcW w:w="561"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管理</w:t>
            </w:r>
          </w:p>
        </w:tc>
        <w:tc>
          <w:tcPr>
            <w:tcW w:w="600"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专技</w:t>
            </w:r>
          </w:p>
        </w:tc>
        <w:tc>
          <w:tcPr>
            <w:tcW w:w="1017" w:type="dxa"/>
            <w:shd w:val="clear" w:color="auto" w:fill="auto"/>
            <w:vAlign w:val="center"/>
          </w:tcPr>
          <w:p>
            <w:pPr>
              <w:widowControl/>
              <w:spacing w:line="340" w:lineRule="exact"/>
              <w:jc w:val="center"/>
              <w:textAlignment w:val="center"/>
              <w:rPr>
                <w:rFonts w:ascii="Times New Roman" w:hAnsi="Times New Roman" w:eastAsia="宋体" w:cs="Times New Roman"/>
                <w:b/>
                <w:kern w:val="0"/>
                <w:sz w:val="22"/>
                <w:szCs w:val="22"/>
              </w:rPr>
            </w:pPr>
            <w:r>
              <w:rPr>
                <w:rFonts w:ascii="Times New Roman" w:hAnsi="宋体" w:eastAsia="宋体" w:cs="Times New Roman"/>
                <w:b/>
                <w:kern w:val="0"/>
                <w:sz w:val="22"/>
                <w:szCs w:val="22"/>
              </w:rPr>
              <w:t>年龄</w:t>
            </w:r>
          </w:p>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要求</w:t>
            </w:r>
          </w:p>
        </w:tc>
        <w:tc>
          <w:tcPr>
            <w:tcW w:w="1127"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hint="eastAsia" w:ascii="Times New Roman" w:hAnsi="宋体" w:eastAsia="宋体" w:cs="Times New Roman"/>
                <w:b/>
                <w:kern w:val="0"/>
                <w:sz w:val="22"/>
                <w:szCs w:val="22"/>
              </w:rPr>
              <w:t>最低</w:t>
            </w:r>
            <w:r>
              <w:rPr>
                <w:rFonts w:ascii="Times New Roman" w:hAnsi="宋体" w:eastAsia="宋体" w:cs="Times New Roman"/>
                <w:b/>
                <w:kern w:val="0"/>
                <w:sz w:val="22"/>
                <w:szCs w:val="22"/>
              </w:rPr>
              <w:t>学历学位要求</w:t>
            </w:r>
          </w:p>
        </w:tc>
        <w:tc>
          <w:tcPr>
            <w:tcW w:w="2264"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专业要求</w:t>
            </w:r>
          </w:p>
        </w:tc>
        <w:tc>
          <w:tcPr>
            <w:tcW w:w="1082"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职称要求</w:t>
            </w:r>
          </w:p>
        </w:tc>
        <w:tc>
          <w:tcPr>
            <w:tcW w:w="1240"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其他要求</w:t>
            </w:r>
          </w:p>
        </w:tc>
        <w:tc>
          <w:tcPr>
            <w:tcW w:w="1197" w:type="dxa"/>
            <w:vMerge w:val="continue"/>
            <w:shd w:val="clear" w:color="auto" w:fill="auto"/>
            <w:vAlign w:val="center"/>
          </w:tcPr>
          <w:p>
            <w:pPr>
              <w:spacing w:line="340" w:lineRule="exact"/>
              <w:jc w:val="center"/>
              <w:rPr>
                <w:rFonts w:ascii="Times New Roman" w:hAnsi="Times New Roman" w:eastAsia="宋体" w:cs="Times New Roman"/>
                <w:b/>
                <w:sz w:val="22"/>
                <w:szCs w:val="22"/>
              </w:rPr>
            </w:pPr>
          </w:p>
        </w:tc>
        <w:tc>
          <w:tcPr>
            <w:tcW w:w="1027"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联系人</w:t>
            </w:r>
          </w:p>
        </w:tc>
        <w:tc>
          <w:tcPr>
            <w:tcW w:w="1444" w:type="dxa"/>
            <w:shd w:val="clear" w:color="auto" w:fill="auto"/>
            <w:vAlign w:val="center"/>
          </w:tcPr>
          <w:p>
            <w:pPr>
              <w:widowControl/>
              <w:spacing w:line="340" w:lineRule="exact"/>
              <w:jc w:val="center"/>
              <w:textAlignment w:val="center"/>
              <w:rPr>
                <w:rFonts w:ascii="Times New Roman" w:hAnsi="Times New Roman" w:eastAsia="宋体" w:cs="Times New Roman"/>
                <w:b/>
                <w:sz w:val="22"/>
                <w:szCs w:val="22"/>
              </w:rPr>
            </w:pPr>
            <w:r>
              <w:rPr>
                <w:rFonts w:ascii="Times New Roman" w:hAnsi="宋体" w:eastAsia="宋体" w:cs="Times New Roman"/>
                <w:b/>
                <w:kern w:val="0"/>
                <w:sz w:val="22"/>
                <w:szCs w:val="2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张家界市政协机关</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信息中心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计算机应用技术、软件工程、计算机技术硕士</w:t>
            </w:r>
            <w:r>
              <w:rPr>
                <w:rFonts w:hint="eastAsia" w:ascii="Times New Roman" w:hAnsi="宋体" w:eastAsia="宋体" w:cs="Times New Roman"/>
                <w:kern w:val="0"/>
                <w:sz w:val="20"/>
                <w:szCs w:val="20"/>
              </w:rPr>
              <w:t>、</w:t>
            </w:r>
            <w:r>
              <w:rPr>
                <w:rFonts w:ascii="Times New Roman" w:hAnsi="宋体" w:eastAsia="宋体" w:cs="Times New Roman"/>
                <w:kern w:val="0"/>
                <w:sz w:val="20"/>
                <w:szCs w:val="20"/>
              </w:rPr>
              <w:t>社会工作硕士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周静</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18074488800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张家界市自然资源和规划局所属事业单位市规划设计研究院</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4</w:t>
            </w:r>
            <w:r>
              <w:rPr>
                <w:rStyle w:val="27"/>
                <w:rFonts w:hint="eastAsia" w:eastAsia="宋体"/>
                <w:color w:val="auto"/>
              </w:rPr>
              <w:t>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土建类</w:t>
            </w:r>
          </w:p>
        </w:tc>
        <w:tc>
          <w:tcPr>
            <w:tcW w:w="1082" w:type="dxa"/>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r>
              <w:rPr>
                <w:rFonts w:ascii="Times New Roman" w:hAnsi="宋体" w:eastAsia="宋体" w:cs="Times New Roman"/>
                <w:kern w:val="0"/>
                <w:sz w:val="20"/>
                <w:szCs w:val="20"/>
              </w:rPr>
              <w:t>高级</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工程师</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宋体" w:eastAsia="宋体" w:cs="Times New Roman"/>
                <w:kern w:val="0"/>
                <w:sz w:val="20"/>
                <w:szCs w:val="20"/>
              </w:rPr>
              <w:t>杨晓</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15907405588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张家界市住房和城乡建设局所属事业单位市建设工程质量安全监督站</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结构工程、市政工程、桥梁与隧道工程</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胡铁山</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15174415610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张家界市水利局所属事业单位市城市防洪工程建设管理站</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水利工程类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丁燕</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15874475168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张家界市人民政府</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发展研究中心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周岁及以下（博士研究生可放宽至</w:t>
            </w:r>
            <w:r>
              <w:rPr>
                <w:rStyle w:val="27"/>
                <w:rFonts w:eastAsia="宋体"/>
                <w:color w:val="auto"/>
              </w:rPr>
              <w:t>40周</w:t>
            </w:r>
            <w:r>
              <w:rPr>
                <w:rStyle w:val="28"/>
                <w:rFonts w:hint="default" w:ascii="Times New Roman" w:cs="Times New Roman"/>
                <w:color w:val="auto"/>
              </w:rPr>
              <w:t>岁）</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电子信息类、计算机类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sz w:val="20"/>
                <w:szCs w:val="20"/>
              </w:rPr>
              <w:t>无</w:t>
            </w:r>
          </w:p>
        </w:tc>
        <w:tc>
          <w:tcPr>
            <w:tcW w:w="1197" w:type="dxa"/>
            <w:vMerge w:val="continue"/>
            <w:shd w:val="clear" w:color="auto" w:fill="auto"/>
            <w:vAlign w:val="center"/>
          </w:tcPr>
          <w:p>
            <w:pPr>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田坤鑫</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17769209775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张家界市发展和改革委员会所属事业单位市节能监察中心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9"/>
                <w:rFonts w:eastAsia="宋体"/>
                <w:color w:val="auto"/>
              </w:rPr>
              <w:t>30</w:t>
            </w:r>
            <w:r>
              <w:rPr>
                <w:rStyle w:val="30"/>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环境科学与工程类、土建类、计算机类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敬渊</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0744-8380172 16607440806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7</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张家界市退役军人事务局所属事业单位</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市军队离休退休干部服务管理总站</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管理</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600"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9"/>
                <w:rFonts w:eastAsia="宋体"/>
                <w:color w:val="auto"/>
              </w:rPr>
              <w:t>30</w:t>
            </w:r>
            <w:r>
              <w:rPr>
                <w:rStyle w:val="30"/>
                <w:rFonts w:hint="default" w:ascii="Times New Roman" w:cs="Times New Roman"/>
                <w:color w:val="auto"/>
              </w:rPr>
              <w:t>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中国语言文学类、</w:t>
            </w:r>
            <w:r>
              <w:rPr>
                <w:rFonts w:hint="eastAsia" w:ascii="Times New Roman" w:hAnsi="宋体" w:eastAsia="宋体" w:cs="Times New Roman"/>
                <w:spacing w:val="0"/>
                <w:kern w:val="0"/>
                <w:sz w:val="20"/>
                <w:szCs w:val="20"/>
              </w:rPr>
              <w:t>新闻传播学类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张民</w:t>
            </w:r>
          </w:p>
        </w:tc>
        <w:tc>
          <w:tcPr>
            <w:tcW w:w="1444"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15807442666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b/>
                <w:bCs/>
                <w:kern w:val="0"/>
                <w:sz w:val="20"/>
                <w:szCs w:val="20"/>
              </w:rPr>
              <w:t>8</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张家界市市场监督管理局所属事业单位</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市计量测试检定所</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r>
              <w:rPr>
                <w:rFonts w:ascii="Times New Roman" w:hAnsi="Times New Roman" w:eastAsia="宋体" w:cs="Times New Roman"/>
                <w:sz w:val="20"/>
                <w:szCs w:val="20"/>
              </w:rPr>
              <w:t>（中级职称可放宽至35周岁）</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物理学类、机械类、电子信息类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1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金红</w:t>
            </w:r>
          </w:p>
        </w:tc>
        <w:tc>
          <w:tcPr>
            <w:tcW w:w="1444"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15874488066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9</w:t>
            </w:r>
          </w:p>
        </w:tc>
        <w:tc>
          <w:tcPr>
            <w:tcW w:w="2070" w:type="dxa"/>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r>
              <w:rPr>
                <w:rFonts w:ascii="Times New Roman" w:hAnsi="宋体" w:eastAsia="宋体" w:cs="Times New Roman"/>
                <w:kern w:val="0"/>
                <w:sz w:val="20"/>
                <w:szCs w:val="20"/>
              </w:rPr>
              <w:t>张家界市统计局</w:t>
            </w:r>
          </w:p>
          <w:p>
            <w:pPr>
              <w:widowControl/>
              <w:spacing w:line="300" w:lineRule="exact"/>
              <w:jc w:val="center"/>
              <w:textAlignment w:val="center"/>
              <w:rPr>
                <w:rFonts w:ascii="Times New Roman" w:hAnsi="宋体" w:eastAsia="宋体" w:cs="Times New Roman"/>
                <w:kern w:val="0"/>
                <w:sz w:val="20"/>
                <w:szCs w:val="20"/>
              </w:rPr>
            </w:pPr>
            <w:r>
              <w:rPr>
                <w:rFonts w:ascii="Times New Roman" w:hAnsi="宋体" w:eastAsia="宋体" w:cs="Times New Roman"/>
                <w:kern w:val="0"/>
                <w:sz w:val="20"/>
                <w:szCs w:val="20"/>
              </w:rPr>
              <w:t>所属事业单位</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kern w:val="0"/>
                <w:sz w:val="20"/>
                <w:szCs w:val="20"/>
              </w:rPr>
              <w:t>市电子计算站</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宋体" w:eastAsia="宋体" w:cs="Times New Roman"/>
                <w:spacing w:val="0"/>
                <w:kern w:val="0"/>
                <w:sz w:val="20"/>
                <w:szCs w:val="20"/>
              </w:rPr>
              <w:t>计算机应用技术、</w:t>
            </w:r>
          </w:p>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宋体" w:eastAsia="宋体" w:cs="Times New Roman"/>
                <w:spacing w:val="0"/>
                <w:kern w:val="0"/>
                <w:sz w:val="20"/>
                <w:szCs w:val="20"/>
              </w:rPr>
              <w:t>计算机软件与理论、</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软件工程</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10" w:lineRule="exact"/>
              <w:jc w:val="center"/>
              <w:rPr>
                <w:rFonts w:ascii="Times New Roman" w:hAnsi="Times New Roman" w:eastAsia="宋体" w:cs="Times New Roman"/>
                <w:sz w:val="20"/>
                <w:szCs w:val="20"/>
              </w:rPr>
            </w:pPr>
          </w:p>
        </w:tc>
        <w:tc>
          <w:tcPr>
            <w:tcW w:w="1027"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龚伟萍</w:t>
            </w:r>
          </w:p>
        </w:tc>
        <w:tc>
          <w:tcPr>
            <w:tcW w:w="1444"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0744-8236227 13789344008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10</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张家界市统计局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普查中心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宋体" w:eastAsia="宋体" w:cs="Times New Roman"/>
                <w:spacing w:val="0"/>
                <w:kern w:val="0"/>
                <w:sz w:val="20"/>
                <w:szCs w:val="20"/>
              </w:rPr>
              <w:t>统计学、应用统计</w:t>
            </w:r>
            <w:r>
              <w:rPr>
                <w:rFonts w:hint="eastAsia" w:ascii="Times New Roman" w:hAnsi="宋体" w:eastAsia="宋体" w:cs="Times New Roman"/>
                <w:spacing w:val="0"/>
                <w:kern w:val="0"/>
                <w:sz w:val="20"/>
                <w:szCs w:val="20"/>
              </w:rPr>
              <w:t>硕士</w:t>
            </w:r>
            <w:r>
              <w:rPr>
                <w:rFonts w:ascii="Times New Roman" w:hAnsi="宋体" w:eastAsia="宋体" w:cs="Times New Roman"/>
                <w:spacing w:val="0"/>
                <w:kern w:val="0"/>
                <w:sz w:val="20"/>
                <w:szCs w:val="20"/>
              </w:rPr>
              <w:t>、</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会计学、经济法学、</w:t>
            </w:r>
            <w:r>
              <w:rPr>
                <w:rFonts w:hint="eastAsia" w:ascii="Times New Roman" w:hAnsi="宋体" w:eastAsia="宋体" w:cs="Times New Roman"/>
                <w:spacing w:val="0"/>
                <w:kern w:val="0"/>
                <w:sz w:val="20"/>
                <w:szCs w:val="20"/>
              </w:rPr>
              <w:t>国际法学(含：国际公法、国际私法、国际经济法)</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1"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11</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pacing w:val="-11"/>
                <w:kern w:val="0"/>
                <w:sz w:val="20"/>
                <w:szCs w:val="20"/>
              </w:rPr>
            </w:pPr>
            <w:r>
              <w:rPr>
                <w:rFonts w:ascii="Times New Roman" w:hAnsi="宋体" w:eastAsia="宋体" w:cs="Times New Roman"/>
                <w:spacing w:val="-11"/>
                <w:kern w:val="0"/>
                <w:sz w:val="20"/>
                <w:szCs w:val="20"/>
              </w:rPr>
              <w:t>张家界市文化旅游广电体育局所属事业单位</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市博物馆</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历史学类、艺术类、中国语言文学类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Style w:val="28"/>
                <w:rFonts w:hint="default" w:ascii="Times New Roman" w:cs="Times New Roman"/>
                <w:color w:val="auto"/>
                <w:spacing w:val="0"/>
              </w:rPr>
              <w:t>普通话二级甲等及以上水平；男士身高</w:t>
            </w:r>
            <w:r>
              <w:rPr>
                <w:rStyle w:val="27"/>
                <w:rFonts w:eastAsia="宋体"/>
                <w:color w:val="auto"/>
                <w:spacing w:val="0"/>
              </w:rPr>
              <w:t>172</w:t>
            </w:r>
            <w:r>
              <w:rPr>
                <w:rStyle w:val="27"/>
                <w:rFonts w:hint="eastAsia" w:eastAsia="宋体"/>
                <w:color w:val="auto"/>
                <w:spacing w:val="0"/>
              </w:rPr>
              <w:t>c</w:t>
            </w:r>
            <w:r>
              <w:rPr>
                <w:rStyle w:val="27"/>
                <w:rFonts w:eastAsia="宋体"/>
                <w:color w:val="auto"/>
                <w:spacing w:val="0"/>
              </w:rPr>
              <w:t>m</w:t>
            </w:r>
            <w:r>
              <w:rPr>
                <w:rStyle w:val="27"/>
                <w:rFonts w:hint="eastAsia" w:eastAsia="宋体"/>
                <w:color w:val="auto"/>
                <w:spacing w:val="0"/>
              </w:rPr>
              <w:t>（含）</w:t>
            </w:r>
            <w:r>
              <w:rPr>
                <w:rStyle w:val="28"/>
                <w:rFonts w:hint="default" w:ascii="Times New Roman" w:cs="Times New Roman"/>
                <w:color w:val="auto"/>
                <w:spacing w:val="0"/>
              </w:rPr>
              <w:t>以上，女士身高</w:t>
            </w:r>
            <w:r>
              <w:rPr>
                <w:rStyle w:val="27"/>
                <w:rFonts w:eastAsia="宋体"/>
                <w:color w:val="auto"/>
                <w:spacing w:val="0"/>
              </w:rPr>
              <w:t>162</w:t>
            </w:r>
            <w:r>
              <w:rPr>
                <w:rStyle w:val="27"/>
                <w:rFonts w:hint="eastAsia" w:eastAsia="宋体"/>
                <w:color w:val="auto"/>
                <w:spacing w:val="0"/>
              </w:rPr>
              <w:t>cm</w:t>
            </w:r>
            <w:r>
              <w:rPr>
                <w:rStyle w:val="28"/>
                <w:rFonts w:hint="default" w:ascii="Times New Roman" w:cs="Times New Roman"/>
                <w:color w:val="auto"/>
                <w:spacing w:val="0"/>
              </w:rPr>
              <w:t>（含）以上</w:t>
            </w:r>
          </w:p>
        </w:tc>
        <w:tc>
          <w:tcPr>
            <w:tcW w:w="1197" w:type="dxa"/>
            <w:vMerge w:val="continue"/>
            <w:shd w:val="clear" w:color="auto" w:fill="auto"/>
            <w:vAlign w:val="center"/>
          </w:tcPr>
          <w:p>
            <w:pPr>
              <w:spacing w:line="31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何婕</w:t>
            </w:r>
          </w:p>
        </w:tc>
        <w:tc>
          <w:tcPr>
            <w:tcW w:w="1444"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0744-8380989 15974411921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12</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张家界市财政局所属事业单位市财政投资评审中心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w:t>
            </w:r>
            <w:r>
              <w:rPr>
                <w:rFonts w:ascii="Times New Roman" w:hAnsi="Times New Roman" w:eastAsia="宋体" w:cs="Times New Roman"/>
                <w:sz w:val="20"/>
                <w:szCs w:val="20"/>
              </w:rPr>
              <w:t>0周岁及以下（中级职称可放宽至35周岁）</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区域经济学、财政学</w:t>
            </w:r>
            <w:r>
              <w:rPr>
                <w:rFonts w:hint="eastAsia" w:ascii="Times New Roman" w:hAnsi="宋体" w:eastAsia="宋体" w:cs="Times New Roman"/>
                <w:kern w:val="0"/>
                <w:sz w:val="20"/>
                <w:szCs w:val="20"/>
              </w:rPr>
              <w:t>（含税收学）</w:t>
            </w:r>
            <w:r>
              <w:rPr>
                <w:rFonts w:ascii="Times New Roman" w:hAnsi="宋体" w:eastAsia="宋体" w:cs="Times New Roman"/>
                <w:kern w:val="0"/>
                <w:sz w:val="20"/>
                <w:szCs w:val="20"/>
              </w:rPr>
              <w:t>、金融学</w:t>
            </w:r>
            <w:r>
              <w:rPr>
                <w:rFonts w:hint="eastAsia" w:ascii="Times New Roman" w:hAnsi="宋体" w:eastAsia="宋体" w:cs="Times New Roman"/>
                <w:kern w:val="0"/>
                <w:sz w:val="20"/>
                <w:szCs w:val="20"/>
              </w:rPr>
              <w:t>（含保险学）</w:t>
            </w:r>
            <w:r>
              <w:rPr>
                <w:rFonts w:ascii="Times New Roman" w:hAnsi="宋体" w:eastAsia="宋体" w:cs="Times New Roman"/>
                <w:kern w:val="0"/>
                <w:sz w:val="20"/>
                <w:szCs w:val="20"/>
              </w:rPr>
              <w:t>、产业经济学、金融硕士</w:t>
            </w:r>
          </w:p>
        </w:tc>
        <w:tc>
          <w:tcPr>
            <w:tcW w:w="1082"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李彦青</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18907440205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13</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spacing w:val="-8"/>
                <w:sz w:val="20"/>
                <w:szCs w:val="20"/>
              </w:rPr>
            </w:pPr>
            <w:r>
              <w:rPr>
                <w:rFonts w:ascii="Times New Roman" w:hAnsi="宋体" w:eastAsia="宋体" w:cs="Times New Roman"/>
                <w:spacing w:val="-8"/>
                <w:kern w:val="0"/>
                <w:sz w:val="20"/>
                <w:szCs w:val="20"/>
              </w:rPr>
              <w:t>张家界市生态环境局所属事业单位慈利县生态县创建工作办公室</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管理</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600"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环境科学与工程类</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颜红权</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15074470006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14</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张家界市总工会</w:t>
            </w:r>
          </w:p>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所属事业单位</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市工人文化宫</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bookmarkStart w:id="0" w:name="_GoBack"/>
            <w:bookmarkEnd w:id="0"/>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sz w:val="20"/>
                <w:szCs w:val="20"/>
              </w:rPr>
              <w:t>艺术学、舞蹈学、</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sz w:val="20"/>
                <w:szCs w:val="20"/>
              </w:rPr>
              <w:t>艺术硕士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spacing w:line="300" w:lineRule="exact"/>
              <w:jc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罗洁</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18607449818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425"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15</w:t>
            </w:r>
          </w:p>
        </w:tc>
        <w:tc>
          <w:tcPr>
            <w:tcW w:w="207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张家界市委党校</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马克思主义哲学、政治经济学、政治学理论、科学社会主义与国际共产主义运动、中共党史（含党的学说与党的建设）、马克思主义基本原理、马克思主义发展史、马克思主义中国化研究</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宋体" w:eastAsia="宋体" w:cs="Times New Roman"/>
                <w:kern w:val="0"/>
                <w:sz w:val="20"/>
                <w:szCs w:val="20"/>
              </w:rPr>
              <w:t>限</w:t>
            </w:r>
            <w:r>
              <w:rPr>
                <w:rFonts w:ascii="Times New Roman" w:hAnsi="宋体" w:eastAsia="宋体" w:cs="Times New Roman"/>
                <w:kern w:val="0"/>
                <w:sz w:val="20"/>
                <w:szCs w:val="20"/>
              </w:rPr>
              <w:t>男</w:t>
            </w:r>
            <w:r>
              <w:rPr>
                <w:rFonts w:hint="eastAsia" w:ascii="Times New Roman" w:hAnsi="宋体" w:eastAsia="宋体" w:cs="Times New Roman"/>
                <w:kern w:val="0"/>
                <w:sz w:val="20"/>
                <w:szCs w:val="20"/>
              </w:rPr>
              <w:t>性</w:t>
            </w:r>
          </w:p>
        </w:tc>
        <w:tc>
          <w:tcPr>
            <w:tcW w:w="1197"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2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李芳</w:t>
            </w:r>
          </w:p>
        </w:tc>
        <w:tc>
          <w:tcPr>
            <w:tcW w:w="1444"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13574416335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5" w:type="dxa"/>
            <w:vMerge w:val="continue"/>
            <w:shd w:val="clear" w:color="auto" w:fill="auto"/>
            <w:vAlign w:val="center"/>
          </w:tcPr>
          <w:p>
            <w:pPr>
              <w:widowControl/>
              <w:spacing w:line="300" w:lineRule="exact"/>
              <w:jc w:val="center"/>
              <w:rPr>
                <w:rFonts w:ascii="Times New Roman" w:hAnsi="Times New Roman" w:eastAsia="宋体" w:cs="Times New Roman"/>
                <w:b/>
                <w:sz w:val="20"/>
                <w:szCs w:val="20"/>
              </w:rPr>
            </w:pP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82"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宋体" w:eastAsia="宋体" w:cs="Times New Roman"/>
                <w:kern w:val="0"/>
                <w:sz w:val="20"/>
                <w:szCs w:val="20"/>
              </w:rPr>
              <w:t>限</w:t>
            </w:r>
            <w:r>
              <w:rPr>
                <w:rFonts w:ascii="Times New Roman" w:hAnsi="宋体" w:eastAsia="宋体" w:cs="Times New Roman"/>
                <w:kern w:val="0"/>
                <w:sz w:val="20"/>
                <w:szCs w:val="20"/>
              </w:rPr>
              <w:t>女</w:t>
            </w:r>
            <w:r>
              <w:rPr>
                <w:rFonts w:hint="eastAsia" w:ascii="Times New Roman" w:hAnsi="宋体" w:eastAsia="宋体" w:cs="Times New Roman"/>
                <w:kern w:val="0"/>
                <w:sz w:val="20"/>
                <w:szCs w:val="20"/>
              </w:rPr>
              <w:t>性</w:t>
            </w:r>
          </w:p>
        </w:tc>
        <w:tc>
          <w:tcPr>
            <w:tcW w:w="1197"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16</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张家界市工业和信息化局所属事业单位</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市中小企业服务中心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30</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计算机应用技术、计算机技术硕士、</w:t>
            </w:r>
            <w:r>
              <w:rPr>
                <w:rFonts w:hint="eastAsia" w:ascii="Times New Roman" w:hAnsi="宋体" w:eastAsia="宋体" w:cs="Times New Roman"/>
                <w:kern w:val="0"/>
                <w:sz w:val="20"/>
                <w:szCs w:val="20"/>
              </w:rPr>
              <w:t>企业管理（含：财务管理、市场营销、人力资源管理）</w:t>
            </w:r>
            <w:r>
              <w:rPr>
                <w:rFonts w:ascii="Times New Roman" w:hAnsi="宋体" w:eastAsia="宋体" w:cs="Times New Roman"/>
                <w:kern w:val="0"/>
                <w:sz w:val="20"/>
                <w:szCs w:val="20"/>
              </w:rPr>
              <w:t>、技术经济及管理</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p>
        </w:tc>
        <w:tc>
          <w:tcPr>
            <w:tcW w:w="102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郑宏玉</w:t>
            </w:r>
          </w:p>
        </w:tc>
        <w:tc>
          <w:tcPr>
            <w:tcW w:w="144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15343241121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17</w:t>
            </w:r>
          </w:p>
        </w:tc>
        <w:tc>
          <w:tcPr>
            <w:tcW w:w="207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委员会所属事业单位市疾病预防控制中心</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专技</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岗位</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27"/>
                <w:rFonts w:eastAsia="宋体"/>
                <w:color w:val="auto"/>
              </w:rPr>
              <w:t>35</w:t>
            </w:r>
            <w:r>
              <w:rPr>
                <w:rStyle w:val="28"/>
                <w:rFonts w:hint="default" w:ascii="Times New Roman" w:cs="Times New Roman"/>
                <w:color w:val="auto"/>
              </w:rPr>
              <w:t>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硕士研究生</w:t>
            </w:r>
            <w:r>
              <w:rPr>
                <w:rFonts w:hint="eastAsia" w:ascii="Times New Roman" w:hAnsi="宋体" w:eastAsia="宋体" w:cs="Times New Roman"/>
                <w:kern w:val="0"/>
                <w:sz w:val="20"/>
                <w:szCs w:val="20"/>
              </w:rPr>
              <w:t>（有中级职称的可放宽至大学本科）</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流行病与卫生统计学、劳动卫生与环境卫生学、公共卫生硕士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无</w:t>
            </w:r>
          </w:p>
        </w:tc>
        <w:tc>
          <w:tcPr>
            <w:tcW w:w="1197" w:type="dxa"/>
            <w:vMerge w:val="restart"/>
            <w:shd w:val="clear" w:color="auto" w:fill="auto"/>
            <w:vAlign w:val="center"/>
          </w:tcPr>
          <w:p>
            <w:pPr>
              <w:spacing w:line="40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熊月凤</w:t>
            </w:r>
          </w:p>
        </w:tc>
        <w:tc>
          <w:tcPr>
            <w:tcW w:w="1444" w:type="dxa"/>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17872941829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18</w:t>
            </w:r>
          </w:p>
        </w:tc>
        <w:tc>
          <w:tcPr>
            <w:tcW w:w="207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泌尿外科医生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宋体" w:eastAsia="宋体" w:cs="Times New Roman"/>
                <w:kern w:val="0"/>
                <w:sz w:val="20"/>
                <w:szCs w:val="20"/>
              </w:rPr>
              <w:t>具有相应专业的执业资格证和规培证（中级及以上职称不需规培证）</w:t>
            </w:r>
          </w:p>
        </w:tc>
        <w:tc>
          <w:tcPr>
            <w:tcW w:w="1197" w:type="dxa"/>
            <w:vMerge w:val="continue"/>
            <w:shd w:val="clear" w:color="auto" w:fill="auto"/>
            <w:vAlign w:val="center"/>
          </w:tcPr>
          <w:p>
            <w:pPr>
              <w:spacing w:line="400" w:lineRule="exact"/>
              <w:jc w:val="center"/>
              <w:rPr>
                <w:rFonts w:ascii="Times New Roman" w:hAnsi="Times New Roman" w:eastAsia="宋体" w:cs="Times New Roman"/>
                <w:sz w:val="20"/>
                <w:szCs w:val="20"/>
              </w:rPr>
            </w:pPr>
          </w:p>
        </w:tc>
        <w:tc>
          <w:tcPr>
            <w:tcW w:w="1027"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widowControl/>
              <w:spacing w:line="400" w:lineRule="exact"/>
              <w:jc w:val="center"/>
              <w:textAlignment w:val="cente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19</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耳鼻喉科医生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耳鼻咽喉科学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spacing w:line="40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20</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眼科</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眼科学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spacing w:line="40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21</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胃肠外科医生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spacing w:line="40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22</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胸心外科医生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spacing w:line="40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23</w:t>
            </w:r>
          </w:p>
        </w:tc>
        <w:tc>
          <w:tcPr>
            <w:tcW w:w="2070"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Style w:val="31"/>
                <w:rFonts w:hint="default" w:ascii="Times New Roman" w:cs="Times New Roman"/>
                <w:color w:val="auto"/>
              </w:rPr>
              <w:t>神经外科医生</w:t>
            </w:r>
            <w:r>
              <w:rPr>
                <w:rStyle w:val="32"/>
                <w:color w:val="auto"/>
              </w:rPr>
              <w:t>1</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40</w:t>
            </w:r>
            <w:r>
              <w:rPr>
                <w:rFonts w:ascii="Times New Roman" w:hAnsi="Times New Roman" w:eastAsia="宋体" w:cs="Times New Roman"/>
                <w:kern w:val="0"/>
                <w:sz w:val="20"/>
                <w:szCs w:val="20"/>
              </w:rPr>
              <w:t>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博士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无</w:t>
            </w:r>
          </w:p>
        </w:tc>
        <w:tc>
          <w:tcPr>
            <w:tcW w:w="119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425"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24</w:t>
            </w:r>
          </w:p>
        </w:tc>
        <w:tc>
          <w:tcPr>
            <w:tcW w:w="2070"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1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Style w:val="31"/>
                <w:rFonts w:hint="default" w:ascii="Times New Roman" w:cs="Times New Roman"/>
                <w:color w:val="auto"/>
              </w:rPr>
              <w:t>神经外科医生</w:t>
            </w:r>
            <w:r>
              <w:rPr>
                <w:rStyle w:val="32"/>
                <w:color w:val="auto"/>
              </w:rPr>
              <w:t>2</w:t>
            </w: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外科学、临床医学硕士</w:t>
            </w:r>
          </w:p>
        </w:tc>
        <w:tc>
          <w:tcPr>
            <w:tcW w:w="1082" w:type="dxa"/>
            <w:vMerge w:val="restart"/>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restart"/>
            <w:shd w:val="clear" w:color="auto" w:fill="auto"/>
            <w:vAlign w:val="center"/>
          </w:tcPr>
          <w:p>
            <w:pPr>
              <w:widowControl/>
              <w:spacing w:line="31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1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425"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31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310" w:lineRule="exact"/>
              <w:jc w:val="center"/>
              <w:textAlignment w:val="center"/>
              <w:rPr>
                <w:rStyle w:val="31"/>
                <w:rFonts w:hint="default" w:ascii="Times New Roman" w:cs="Times New Roman"/>
                <w:color w:val="auto"/>
              </w:rPr>
            </w:pP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310" w:lineRule="exact"/>
              <w:jc w:val="center"/>
              <w:textAlignment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310" w:lineRule="exact"/>
              <w:jc w:val="center"/>
              <w:textAlignment w:val="center"/>
              <w:rPr>
                <w:rFonts w:ascii="Times New Roman" w:hAnsi="宋体" w:eastAsia="宋体" w:cs="Times New Roman"/>
                <w:spacing w:val="0"/>
                <w:kern w:val="0"/>
                <w:sz w:val="20"/>
                <w:szCs w:val="20"/>
              </w:rPr>
            </w:pPr>
          </w:p>
        </w:tc>
        <w:tc>
          <w:tcPr>
            <w:tcW w:w="1082" w:type="dxa"/>
            <w:vMerge w:val="continue"/>
            <w:shd w:val="clear" w:color="auto" w:fill="auto"/>
            <w:vAlign w:val="center"/>
          </w:tcPr>
          <w:p>
            <w:pPr>
              <w:widowControl/>
              <w:spacing w:line="310" w:lineRule="exact"/>
              <w:jc w:val="center"/>
              <w:textAlignment w:val="center"/>
              <w:rPr>
                <w:rFonts w:ascii="Times New Roman" w:hAnsi="宋体" w:eastAsia="宋体" w:cs="Times New Roman"/>
                <w:kern w:val="0"/>
                <w:sz w:val="20"/>
                <w:szCs w:val="20"/>
              </w:rPr>
            </w:pP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25" w:type="dxa"/>
            <w:shd w:val="clear" w:color="auto" w:fill="auto"/>
            <w:vAlign w:val="center"/>
          </w:tcPr>
          <w:p>
            <w:pPr>
              <w:widowControl/>
              <w:spacing w:line="31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25</w:t>
            </w:r>
          </w:p>
        </w:tc>
        <w:tc>
          <w:tcPr>
            <w:tcW w:w="207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骨科</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医生</w:t>
            </w:r>
            <w:r>
              <w:rPr>
                <w:rFonts w:ascii="Times New Roman" w:hAnsi="Times New Roman" w:eastAsia="宋体" w:cs="Times New Roman"/>
                <w:kern w:val="0"/>
                <w:sz w:val="20"/>
                <w:szCs w:val="20"/>
              </w:rPr>
              <w:br w:type="textWrapping"/>
            </w:r>
            <w:r>
              <w:rPr>
                <w:rFonts w:ascii="Times New Roman" w:hAnsi="宋体" w:eastAsia="宋体" w:cs="Times New Roman"/>
                <w:kern w:val="0"/>
                <w:sz w:val="20"/>
                <w:szCs w:val="20"/>
              </w:rPr>
              <w:t>（脊柱）</w:t>
            </w: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1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外科学、临床医学硕士</w:t>
            </w:r>
          </w:p>
        </w:tc>
        <w:tc>
          <w:tcPr>
            <w:tcW w:w="1082"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restart"/>
            <w:shd w:val="clear" w:color="auto" w:fill="auto"/>
            <w:vAlign w:val="center"/>
          </w:tcPr>
          <w:p>
            <w:pPr>
              <w:widowControl/>
              <w:spacing w:line="310" w:lineRule="exact"/>
              <w:jc w:val="center"/>
              <w:rPr>
                <w:rFonts w:ascii="Times New Roman" w:hAnsi="Times New Roman" w:eastAsia="宋体" w:cs="Times New Roman"/>
                <w:spacing w:val="0"/>
                <w:sz w:val="20"/>
                <w:szCs w:val="20"/>
              </w:rPr>
            </w:pPr>
            <w:r>
              <w:rPr>
                <w:rFonts w:hint="eastAsia" w:ascii="Times New Roman" w:hAnsi="宋体" w:eastAsia="宋体" w:cs="Times New Roman"/>
                <w:spacing w:val="0"/>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shd w:val="clear" w:color="auto" w:fill="auto"/>
            <w:vAlign w:val="center"/>
          </w:tcPr>
          <w:p>
            <w:pPr>
              <w:widowControl/>
              <w:spacing w:line="31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26</w:t>
            </w:r>
          </w:p>
        </w:tc>
        <w:tc>
          <w:tcPr>
            <w:tcW w:w="207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妇科</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医生</w:t>
            </w: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1017"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1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妇产科学</w:t>
            </w:r>
          </w:p>
        </w:tc>
        <w:tc>
          <w:tcPr>
            <w:tcW w:w="1082"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shd w:val="clear" w:color="auto" w:fill="auto"/>
            <w:vAlign w:val="center"/>
          </w:tcPr>
          <w:p>
            <w:pPr>
              <w:widowControl/>
              <w:spacing w:line="31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27</w:t>
            </w:r>
          </w:p>
        </w:tc>
        <w:tc>
          <w:tcPr>
            <w:tcW w:w="207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产科</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医生</w:t>
            </w: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1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1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1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妇产科学</w:t>
            </w:r>
          </w:p>
        </w:tc>
        <w:tc>
          <w:tcPr>
            <w:tcW w:w="1082"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shd w:val="clear" w:color="auto" w:fill="auto"/>
            <w:vAlign w:val="center"/>
          </w:tcPr>
          <w:p>
            <w:pPr>
              <w:widowControl/>
              <w:spacing w:line="31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28</w:t>
            </w:r>
          </w:p>
        </w:tc>
        <w:tc>
          <w:tcPr>
            <w:tcW w:w="207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肛肠外科医生</w:t>
            </w:r>
          </w:p>
        </w:tc>
        <w:tc>
          <w:tcPr>
            <w:tcW w:w="561" w:type="dxa"/>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1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1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1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中医外科学</w:t>
            </w:r>
          </w:p>
        </w:tc>
        <w:tc>
          <w:tcPr>
            <w:tcW w:w="1082" w:type="dxa"/>
            <w:shd w:val="clear" w:color="auto" w:fill="auto"/>
            <w:vAlign w:val="center"/>
          </w:tcPr>
          <w:p>
            <w:pPr>
              <w:widowControl/>
              <w:spacing w:line="31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1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29</w:t>
            </w:r>
          </w:p>
        </w:tc>
        <w:tc>
          <w:tcPr>
            <w:tcW w:w="2070"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27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Style w:val="31"/>
                <w:rFonts w:hint="default" w:ascii="Times New Roman" w:cs="Times New Roman"/>
                <w:color w:val="auto"/>
              </w:rPr>
              <w:t>神经内科医生</w:t>
            </w:r>
            <w:r>
              <w:rPr>
                <w:rStyle w:val="33"/>
                <w:color w:val="auto"/>
              </w:rPr>
              <w:t>1</w:t>
            </w:r>
          </w:p>
        </w:tc>
        <w:tc>
          <w:tcPr>
            <w:tcW w:w="561" w:type="dxa"/>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27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27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临床医学硕士、内科学、神经病学</w:t>
            </w:r>
          </w:p>
        </w:tc>
        <w:tc>
          <w:tcPr>
            <w:tcW w:w="1082"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27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27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restart"/>
            <w:shd w:val="clear" w:color="auto" w:fill="auto"/>
            <w:vAlign w:val="center"/>
          </w:tcPr>
          <w:p>
            <w:pPr>
              <w:widowControl/>
              <w:spacing w:line="27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1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vMerge w:val="continue"/>
            <w:shd w:val="clear" w:color="auto" w:fill="auto"/>
            <w:vAlign w:val="center"/>
          </w:tcPr>
          <w:p>
            <w:pPr>
              <w:widowControl/>
              <w:spacing w:line="27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27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270" w:lineRule="exact"/>
              <w:jc w:val="center"/>
              <w:textAlignment w:val="center"/>
              <w:rPr>
                <w:rStyle w:val="31"/>
                <w:rFonts w:hint="default" w:ascii="Times New Roman" w:cs="Times New Roman"/>
                <w:color w:val="auto"/>
              </w:rPr>
            </w:pPr>
          </w:p>
        </w:tc>
        <w:tc>
          <w:tcPr>
            <w:tcW w:w="561" w:type="dxa"/>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270" w:lineRule="exact"/>
              <w:jc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270" w:lineRule="exact"/>
              <w:jc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270" w:lineRule="exact"/>
              <w:jc w:val="center"/>
              <w:textAlignment w:val="center"/>
              <w:rPr>
                <w:rFonts w:ascii="Times New Roman" w:hAnsi="宋体" w:eastAsia="宋体" w:cs="Times New Roman"/>
                <w:spacing w:val="0"/>
                <w:kern w:val="0"/>
                <w:sz w:val="20"/>
                <w:szCs w:val="20"/>
              </w:rPr>
            </w:pPr>
          </w:p>
        </w:tc>
        <w:tc>
          <w:tcPr>
            <w:tcW w:w="1082" w:type="dxa"/>
            <w:vMerge w:val="continue"/>
            <w:shd w:val="clear" w:color="auto" w:fill="auto"/>
            <w:vAlign w:val="center"/>
          </w:tcPr>
          <w:p>
            <w:pPr>
              <w:widowControl/>
              <w:spacing w:line="270" w:lineRule="exact"/>
              <w:jc w:val="center"/>
              <w:textAlignment w:val="center"/>
              <w:rPr>
                <w:rFonts w:ascii="Times New Roman" w:hAnsi="宋体" w:eastAsia="宋体" w:cs="Times New Roman"/>
                <w:kern w:val="0"/>
                <w:sz w:val="20"/>
                <w:szCs w:val="20"/>
              </w:rPr>
            </w:pPr>
          </w:p>
        </w:tc>
        <w:tc>
          <w:tcPr>
            <w:tcW w:w="1240" w:type="dxa"/>
            <w:shd w:val="clear" w:color="auto" w:fill="auto"/>
            <w:vAlign w:val="center"/>
          </w:tcPr>
          <w:p>
            <w:pPr>
              <w:widowControl/>
              <w:spacing w:line="27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25" w:type="dxa"/>
            <w:shd w:val="clear" w:color="auto" w:fill="auto"/>
            <w:vAlign w:val="center"/>
          </w:tcPr>
          <w:p>
            <w:pPr>
              <w:widowControl/>
              <w:spacing w:line="27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30</w:t>
            </w:r>
          </w:p>
        </w:tc>
        <w:tc>
          <w:tcPr>
            <w:tcW w:w="2070" w:type="dxa"/>
            <w:vMerge w:val="continue"/>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p>
        </w:tc>
        <w:tc>
          <w:tcPr>
            <w:tcW w:w="900"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Style w:val="31"/>
                <w:rFonts w:hint="default" w:ascii="Times New Roman" w:cs="Times New Roman"/>
                <w:color w:val="auto"/>
              </w:rPr>
              <w:t>神经内科医生</w:t>
            </w:r>
            <w:r>
              <w:rPr>
                <w:rStyle w:val="33"/>
                <w:color w:val="auto"/>
              </w:rPr>
              <w:t>2</w:t>
            </w:r>
          </w:p>
        </w:tc>
        <w:tc>
          <w:tcPr>
            <w:tcW w:w="561" w:type="dxa"/>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1017"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40</w:t>
            </w:r>
            <w:r>
              <w:rPr>
                <w:rFonts w:ascii="Times New Roman" w:hAnsi="Times New Roman" w:eastAsia="宋体" w:cs="Times New Roman"/>
                <w:kern w:val="0"/>
                <w:sz w:val="20"/>
                <w:szCs w:val="20"/>
              </w:rPr>
              <w:t>周岁及以下</w:t>
            </w:r>
          </w:p>
        </w:tc>
        <w:tc>
          <w:tcPr>
            <w:tcW w:w="1127" w:type="dxa"/>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博士</w:t>
            </w:r>
          </w:p>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27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内科学、神经病学</w:t>
            </w:r>
          </w:p>
        </w:tc>
        <w:tc>
          <w:tcPr>
            <w:tcW w:w="1082" w:type="dxa"/>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27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无</w:t>
            </w:r>
          </w:p>
        </w:tc>
        <w:tc>
          <w:tcPr>
            <w:tcW w:w="1197" w:type="dxa"/>
            <w:vMerge w:val="continue"/>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425"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31</w:t>
            </w:r>
          </w:p>
        </w:tc>
        <w:tc>
          <w:tcPr>
            <w:tcW w:w="2070" w:type="dxa"/>
            <w:vMerge w:val="continue"/>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900"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呼吸内科医生</w:t>
            </w:r>
          </w:p>
        </w:tc>
        <w:tc>
          <w:tcPr>
            <w:tcW w:w="561" w:type="dxa"/>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内科学、临床医学硕士</w:t>
            </w:r>
          </w:p>
        </w:tc>
        <w:tc>
          <w:tcPr>
            <w:tcW w:w="1082" w:type="dxa"/>
            <w:vMerge w:val="restart"/>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27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27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425" w:type="dxa"/>
            <w:vMerge w:val="continue"/>
            <w:shd w:val="clear" w:color="auto" w:fill="auto"/>
            <w:vAlign w:val="center"/>
          </w:tcPr>
          <w:p>
            <w:pPr>
              <w:widowControl/>
              <w:spacing w:line="27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27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270" w:lineRule="exact"/>
              <w:jc w:val="center"/>
              <w:textAlignment w:val="center"/>
              <w:rPr>
                <w:rFonts w:ascii="Times New Roman" w:hAnsi="宋体" w:eastAsia="宋体" w:cs="Times New Roman"/>
                <w:kern w:val="0"/>
                <w:sz w:val="20"/>
                <w:szCs w:val="20"/>
              </w:rPr>
            </w:pPr>
          </w:p>
        </w:tc>
        <w:tc>
          <w:tcPr>
            <w:tcW w:w="561" w:type="dxa"/>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270" w:lineRule="exact"/>
              <w:jc w:val="center"/>
              <w:textAlignment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270" w:lineRule="exact"/>
              <w:jc w:val="center"/>
              <w:textAlignment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270" w:lineRule="exact"/>
              <w:jc w:val="center"/>
              <w:textAlignment w:val="center"/>
              <w:rPr>
                <w:rFonts w:ascii="Times New Roman" w:hAnsi="宋体" w:eastAsia="宋体" w:cs="Times New Roman"/>
                <w:spacing w:val="0"/>
                <w:kern w:val="0"/>
                <w:sz w:val="20"/>
                <w:szCs w:val="20"/>
              </w:rPr>
            </w:pPr>
          </w:p>
        </w:tc>
        <w:tc>
          <w:tcPr>
            <w:tcW w:w="1082" w:type="dxa"/>
            <w:vMerge w:val="continue"/>
            <w:shd w:val="clear" w:color="auto" w:fill="auto"/>
            <w:vAlign w:val="center"/>
          </w:tcPr>
          <w:p>
            <w:pPr>
              <w:widowControl/>
              <w:spacing w:line="270" w:lineRule="exact"/>
              <w:jc w:val="center"/>
              <w:textAlignment w:val="center"/>
              <w:rPr>
                <w:rFonts w:ascii="Times New Roman" w:hAnsi="宋体" w:eastAsia="宋体" w:cs="Times New Roman"/>
                <w:kern w:val="0"/>
                <w:sz w:val="20"/>
                <w:szCs w:val="20"/>
              </w:rPr>
            </w:pPr>
          </w:p>
        </w:tc>
        <w:tc>
          <w:tcPr>
            <w:tcW w:w="1240" w:type="dxa"/>
            <w:shd w:val="clear" w:color="auto" w:fill="auto"/>
            <w:vAlign w:val="center"/>
          </w:tcPr>
          <w:p>
            <w:pPr>
              <w:widowControl/>
              <w:spacing w:line="27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27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425"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32</w:t>
            </w:r>
          </w:p>
        </w:tc>
        <w:tc>
          <w:tcPr>
            <w:tcW w:w="207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感染科医生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宋体" w:eastAsia="宋体" w:cs="Times New Roman"/>
                <w:spacing w:val="0"/>
                <w:kern w:val="0"/>
                <w:sz w:val="20"/>
                <w:szCs w:val="20"/>
              </w:rPr>
              <w:t>内科学、临床医学硕士</w:t>
            </w:r>
          </w:p>
        </w:tc>
        <w:tc>
          <w:tcPr>
            <w:tcW w:w="1082"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以上</w:t>
            </w: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restart"/>
            <w:shd w:val="clear" w:color="auto" w:fill="auto"/>
            <w:vAlign w:val="center"/>
          </w:tcPr>
          <w:p>
            <w:pPr>
              <w:widowControl/>
              <w:spacing w:line="3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1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1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425"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30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300" w:lineRule="exact"/>
              <w:jc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300" w:lineRule="exact"/>
              <w:jc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300" w:lineRule="exact"/>
              <w:jc w:val="center"/>
              <w:textAlignment w:val="center"/>
              <w:rPr>
                <w:rFonts w:ascii="Times New Roman" w:hAnsi="宋体" w:eastAsia="宋体" w:cs="Times New Roman"/>
                <w:spacing w:val="0"/>
                <w:kern w:val="0"/>
                <w:sz w:val="20"/>
                <w:szCs w:val="20"/>
              </w:rPr>
            </w:pPr>
          </w:p>
        </w:tc>
        <w:tc>
          <w:tcPr>
            <w:tcW w:w="1082" w:type="dxa"/>
            <w:vMerge w:val="continue"/>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25"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33</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肿瘤科医生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肿瘤学、内科学、</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w:t>
            </w:r>
          </w:p>
        </w:tc>
        <w:tc>
          <w:tcPr>
            <w:tcW w:w="1082"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25"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30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p>
        </w:tc>
        <w:tc>
          <w:tcPr>
            <w:tcW w:w="1082"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1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25" w:type="dxa"/>
            <w:shd w:val="clear" w:color="auto" w:fill="auto"/>
            <w:vAlign w:val="center"/>
          </w:tcPr>
          <w:p>
            <w:pPr>
              <w:widowControl/>
              <w:spacing w:line="28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34</w:t>
            </w:r>
          </w:p>
        </w:tc>
        <w:tc>
          <w:tcPr>
            <w:tcW w:w="2070"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28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风湿免疫科</w:t>
            </w:r>
          </w:p>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医生</w:t>
            </w:r>
          </w:p>
        </w:tc>
        <w:tc>
          <w:tcPr>
            <w:tcW w:w="561" w:type="dxa"/>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28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28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28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内科学、临床医学硕士</w:t>
            </w:r>
          </w:p>
        </w:tc>
        <w:tc>
          <w:tcPr>
            <w:tcW w:w="1082" w:type="dxa"/>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28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无</w:t>
            </w:r>
          </w:p>
        </w:tc>
        <w:tc>
          <w:tcPr>
            <w:tcW w:w="1197" w:type="dxa"/>
            <w:vMerge w:val="restart"/>
            <w:shd w:val="clear" w:color="auto" w:fill="auto"/>
            <w:vAlign w:val="center"/>
          </w:tcPr>
          <w:p>
            <w:pPr>
              <w:widowControl/>
              <w:spacing w:line="28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28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35</w:t>
            </w:r>
          </w:p>
        </w:tc>
        <w:tc>
          <w:tcPr>
            <w:tcW w:w="2070" w:type="dxa"/>
            <w:vMerge w:val="continue"/>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900"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重症医学科</w:t>
            </w:r>
          </w:p>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医生</w:t>
            </w:r>
          </w:p>
        </w:tc>
        <w:tc>
          <w:tcPr>
            <w:tcW w:w="561" w:type="dxa"/>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研究生</w:t>
            </w:r>
          </w:p>
        </w:tc>
        <w:tc>
          <w:tcPr>
            <w:tcW w:w="2264"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17"/>
                <w:kern w:val="0"/>
                <w:sz w:val="20"/>
                <w:szCs w:val="20"/>
              </w:rPr>
              <w:t>急诊医学、临床医学硕士</w:t>
            </w:r>
          </w:p>
        </w:tc>
        <w:tc>
          <w:tcPr>
            <w:tcW w:w="1082"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28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280" w:lineRule="exact"/>
              <w:jc w:val="center"/>
              <w:rPr>
                <w:rFonts w:ascii="Times New Roman" w:hAnsi="Times New Roman" w:eastAsia="宋体" w:cs="Times New Roman"/>
                <w:kern w:val="0"/>
                <w:sz w:val="20"/>
                <w:szCs w:val="20"/>
              </w:rPr>
            </w:pPr>
          </w:p>
        </w:tc>
        <w:tc>
          <w:tcPr>
            <w:tcW w:w="900"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561" w:type="dxa"/>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226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pacing w:val="-17"/>
                <w:kern w:val="0"/>
                <w:sz w:val="20"/>
                <w:szCs w:val="20"/>
              </w:rPr>
            </w:pPr>
          </w:p>
        </w:tc>
        <w:tc>
          <w:tcPr>
            <w:tcW w:w="1082"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1240" w:type="dxa"/>
            <w:shd w:val="clear" w:color="auto" w:fill="auto"/>
            <w:vAlign w:val="center"/>
          </w:tcPr>
          <w:p>
            <w:pPr>
              <w:widowControl/>
              <w:spacing w:line="28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36</w:t>
            </w:r>
          </w:p>
        </w:tc>
        <w:tc>
          <w:tcPr>
            <w:tcW w:w="2070" w:type="dxa"/>
            <w:vMerge w:val="continue"/>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900"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急诊外科医生</w:t>
            </w:r>
          </w:p>
        </w:tc>
        <w:tc>
          <w:tcPr>
            <w:tcW w:w="561" w:type="dxa"/>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28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28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急诊医学、外科学、</w:t>
            </w:r>
          </w:p>
          <w:p>
            <w:pPr>
              <w:widowControl/>
              <w:spacing w:line="28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w:t>
            </w:r>
          </w:p>
        </w:tc>
        <w:tc>
          <w:tcPr>
            <w:tcW w:w="1082" w:type="dxa"/>
            <w:vMerge w:val="restart"/>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28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spacing w:line="28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280" w:lineRule="exact"/>
              <w:jc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561" w:type="dxa"/>
            <w:shd w:val="clear" w:color="auto" w:fill="auto"/>
            <w:vAlign w:val="center"/>
          </w:tcPr>
          <w:p>
            <w:pPr>
              <w:widowControl/>
              <w:spacing w:line="28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280" w:lineRule="exact"/>
              <w:jc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280" w:lineRule="exact"/>
              <w:jc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pacing w:val="0"/>
                <w:kern w:val="0"/>
                <w:sz w:val="20"/>
                <w:szCs w:val="20"/>
              </w:rPr>
            </w:pPr>
          </w:p>
        </w:tc>
        <w:tc>
          <w:tcPr>
            <w:tcW w:w="1082"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1240" w:type="dxa"/>
            <w:shd w:val="clear" w:color="auto" w:fill="auto"/>
            <w:vAlign w:val="center"/>
          </w:tcPr>
          <w:p>
            <w:pPr>
              <w:widowControl/>
              <w:spacing w:line="28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spacing w:line="28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37</w:t>
            </w:r>
          </w:p>
        </w:tc>
        <w:tc>
          <w:tcPr>
            <w:tcW w:w="207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急诊内科医生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w:t>
            </w:r>
          </w:p>
        </w:tc>
        <w:tc>
          <w:tcPr>
            <w:tcW w:w="101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急诊医学、内科学、</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w:t>
            </w:r>
          </w:p>
        </w:tc>
        <w:tc>
          <w:tcPr>
            <w:tcW w:w="1082"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男，</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restart"/>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2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28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25"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b/>
                <w:kern w:val="0"/>
                <w:sz w:val="20"/>
                <w:szCs w:val="20"/>
              </w:rPr>
            </w:pPr>
          </w:p>
        </w:tc>
        <w:tc>
          <w:tcPr>
            <w:tcW w:w="2070" w:type="dxa"/>
            <w:vMerge w:val="continue"/>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p>
        </w:tc>
        <w:tc>
          <w:tcPr>
            <w:tcW w:w="900"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017"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1127" w:type="dxa"/>
            <w:vMerge w:val="continue"/>
            <w:shd w:val="clear" w:color="auto" w:fill="auto"/>
            <w:vAlign w:val="center"/>
          </w:tcPr>
          <w:p>
            <w:pPr>
              <w:widowControl/>
              <w:spacing w:line="300" w:lineRule="exact"/>
              <w:jc w:val="center"/>
              <w:textAlignment w:val="center"/>
              <w:rPr>
                <w:rFonts w:ascii="Times New Roman" w:hAnsi="宋体" w:eastAsia="宋体" w:cs="Times New Roman"/>
                <w:kern w:val="0"/>
                <w:sz w:val="20"/>
                <w:szCs w:val="20"/>
              </w:rPr>
            </w:pPr>
          </w:p>
        </w:tc>
        <w:tc>
          <w:tcPr>
            <w:tcW w:w="2264"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p>
        </w:tc>
        <w:tc>
          <w:tcPr>
            <w:tcW w:w="1082"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p>
        </w:tc>
        <w:tc>
          <w:tcPr>
            <w:tcW w:w="1240" w:type="dxa"/>
            <w:shd w:val="clear" w:color="auto" w:fill="auto"/>
            <w:vAlign w:val="center"/>
          </w:tcPr>
          <w:p>
            <w:pPr>
              <w:widowControl/>
              <w:spacing w:line="310" w:lineRule="exact"/>
              <w:jc w:val="center"/>
              <w:rPr>
                <w:rFonts w:ascii="Times New Roman" w:hAnsi="Times New Roman" w:eastAsia="宋体" w:cs="Times New Roman"/>
                <w:spacing w:val="-8"/>
                <w:sz w:val="20"/>
                <w:szCs w:val="20"/>
              </w:rPr>
            </w:pPr>
            <w:r>
              <w:rPr>
                <w:rFonts w:hint="eastAsia" w:ascii="Times New Roman" w:hAnsi="Times New Roman" w:eastAsia="宋体" w:cs="Times New Roman"/>
                <w:spacing w:val="-8"/>
                <w:sz w:val="20"/>
                <w:szCs w:val="20"/>
              </w:rPr>
              <w:t>女，</w:t>
            </w:r>
            <w:r>
              <w:rPr>
                <w:rFonts w:hint="eastAsia" w:ascii="Times New Roman" w:hAnsi="宋体" w:eastAsia="宋体" w:cs="Times New Roman"/>
                <w:spacing w:val="-8"/>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38</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儿科</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儿科学、中医儿科学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vMerge w:val="restart"/>
            <w:shd w:val="clear" w:color="auto" w:fill="auto"/>
            <w:vAlign w:val="center"/>
          </w:tcPr>
          <w:p>
            <w:pPr>
              <w:widowControl/>
              <w:spacing w:line="300" w:lineRule="exact"/>
              <w:jc w:val="center"/>
              <w:rPr>
                <w:rFonts w:ascii="Times New Roman" w:hAnsi="Times New Roman" w:eastAsia="宋体" w:cs="Times New Roman"/>
                <w:sz w:val="20"/>
                <w:szCs w:val="20"/>
              </w:rPr>
            </w:pPr>
            <w:r>
              <w:rPr>
                <w:rFonts w:hint="eastAsia" w:ascii="Times New Roman" w:hAnsi="宋体" w:eastAsia="宋体" w:cs="Times New Roman"/>
                <w:kern w:val="0"/>
                <w:sz w:val="20"/>
                <w:szCs w:val="20"/>
              </w:rPr>
              <w:t>具有相应专业的执业资格证和规培证（中级及以上职称不需规培证）</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39</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疼痛科医生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外科学、内科学、</w:t>
            </w:r>
          </w:p>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40</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麻醉科医生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麻醉学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28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41</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老年医学医生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临床医学硕士、内科学、老年医学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42</w:t>
            </w:r>
          </w:p>
        </w:tc>
        <w:tc>
          <w:tcPr>
            <w:tcW w:w="2070" w:type="dxa"/>
            <w:vMerge w:val="restart"/>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0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超声影像科</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影像医学与核医学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restart"/>
            <w:shd w:val="clear" w:color="auto" w:fill="auto"/>
            <w:vAlign w:val="center"/>
          </w:tcPr>
          <w:p>
            <w:pPr>
              <w:widowControl/>
              <w:spacing w:line="3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4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4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43</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病理科医师</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宋体"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病理学与病理生理学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44</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心内科医生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内科学、临床医学硕士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到岗从事心血管介入手术工作</w:t>
            </w:r>
          </w:p>
        </w:tc>
        <w:tc>
          <w:tcPr>
            <w:tcW w:w="119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45</w:t>
            </w:r>
          </w:p>
        </w:tc>
        <w:tc>
          <w:tcPr>
            <w:tcW w:w="2070" w:type="dxa"/>
            <w:vMerge w:val="continue"/>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血液科医生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内科学、临床医学硕士</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到岗从事血液病学方向工作</w:t>
            </w:r>
          </w:p>
        </w:tc>
        <w:tc>
          <w:tcPr>
            <w:tcW w:w="119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46</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皮肤科医生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皮肤病与性病学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医师及</w:t>
            </w:r>
          </w:p>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以上</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到岗从事皮肤外科方向工作</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25" w:type="dxa"/>
            <w:shd w:val="clear" w:color="auto" w:fill="auto"/>
            <w:vAlign w:val="center"/>
          </w:tcPr>
          <w:p>
            <w:pPr>
              <w:widowControl/>
              <w:spacing w:line="30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47</w:t>
            </w:r>
          </w:p>
        </w:tc>
        <w:tc>
          <w:tcPr>
            <w:tcW w:w="2070" w:type="dxa"/>
            <w:vMerge w:val="continue"/>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产前诊断医生</w:t>
            </w:r>
          </w:p>
        </w:tc>
        <w:tc>
          <w:tcPr>
            <w:tcW w:w="561" w:type="dxa"/>
            <w:shd w:val="clear" w:color="auto" w:fill="auto"/>
            <w:vAlign w:val="center"/>
          </w:tcPr>
          <w:p>
            <w:pPr>
              <w:widowControl/>
              <w:spacing w:line="30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0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遗传学</w:t>
            </w:r>
          </w:p>
        </w:tc>
        <w:tc>
          <w:tcPr>
            <w:tcW w:w="1082"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0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4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4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48</w:t>
            </w:r>
          </w:p>
        </w:tc>
        <w:tc>
          <w:tcPr>
            <w:tcW w:w="2070" w:type="dxa"/>
            <w:vMerge w:val="restart"/>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6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Style w:val="31"/>
                <w:rFonts w:hint="default" w:ascii="Times New Roman" w:hAnsi="Times New Roman" w:cs="Times New Roman"/>
                <w:color w:val="auto"/>
              </w:rPr>
              <w:t>检验师</w:t>
            </w:r>
            <w:r>
              <w:rPr>
                <w:rStyle w:val="32"/>
                <w:color w:val="auto"/>
              </w:rPr>
              <w:t>1</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病原生物学</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vMerge w:val="restart"/>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本科专业为医学检验技术专业或临床医学检验专业</w:t>
            </w:r>
          </w:p>
        </w:tc>
        <w:tc>
          <w:tcPr>
            <w:tcW w:w="1197" w:type="dxa"/>
            <w:vMerge w:val="restart"/>
            <w:shd w:val="clear" w:color="auto" w:fill="auto"/>
            <w:vAlign w:val="center"/>
          </w:tcPr>
          <w:p>
            <w:pPr>
              <w:widowControl/>
              <w:spacing w:line="36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6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49</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Style w:val="31"/>
                <w:rFonts w:hint="default" w:ascii="Times New Roman" w:hAnsi="Times New Roman" w:cs="Times New Roman"/>
                <w:color w:val="auto"/>
              </w:rPr>
              <w:t>检验师</w:t>
            </w:r>
            <w:r>
              <w:rPr>
                <w:rStyle w:val="32"/>
                <w:color w:val="auto"/>
              </w:rPr>
              <w:t>2</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临床检验诊断学</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50</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Style w:val="31"/>
                <w:rFonts w:hint="default" w:ascii="Times New Roman" w:hAnsi="Times New Roman" w:cs="Times New Roman"/>
                <w:color w:val="auto"/>
              </w:rPr>
              <w:t>检验师</w:t>
            </w:r>
            <w:r>
              <w:rPr>
                <w:rStyle w:val="32"/>
                <w:color w:val="auto"/>
              </w:rPr>
              <w:t>3</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遗传学</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51</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输血师</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临床检验诊断学</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52</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临床</w:t>
            </w:r>
          </w:p>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药师</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药学类</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53</w:t>
            </w:r>
          </w:p>
        </w:tc>
        <w:tc>
          <w:tcPr>
            <w:tcW w:w="2070" w:type="dxa"/>
            <w:vMerge w:val="restart"/>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宋体" w:eastAsia="宋体" w:cs="Times New Roman"/>
                <w:kern w:val="0"/>
                <w:sz w:val="20"/>
                <w:szCs w:val="20"/>
              </w:rPr>
              <w:t>张家界市卫生健康</w:t>
            </w:r>
          </w:p>
          <w:p>
            <w:pPr>
              <w:widowControl/>
              <w:spacing w:line="360" w:lineRule="exact"/>
              <w:jc w:val="center"/>
              <w:rPr>
                <w:rFonts w:ascii="Times New Roman" w:hAnsi="Times New Roman" w:eastAsia="宋体" w:cs="Times New Roman"/>
                <w:sz w:val="20"/>
                <w:szCs w:val="20"/>
              </w:rPr>
            </w:pPr>
            <w:r>
              <w:rPr>
                <w:rFonts w:ascii="Times New Roman" w:hAnsi="宋体" w:eastAsia="宋体" w:cs="Times New Roman"/>
                <w:kern w:val="0"/>
                <w:sz w:val="20"/>
                <w:szCs w:val="20"/>
              </w:rPr>
              <w:t>委员会所属事业单位市人民医院</w:t>
            </w: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院感科医生</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Style w:val="28"/>
                <w:rFonts w:hint="default" w:ascii="Times New Roman" w:hAnsi="Times New Roman" w:cs="Times New Roman"/>
                <w:color w:val="auto"/>
                <w:spacing w:val="0"/>
              </w:rPr>
              <w:t>临</w:t>
            </w:r>
            <w:r>
              <w:rPr>
                <w:rStyle w:val="34"/>
                <w:rFonts w:hint="default" w:ascii="Times New Roman" w:hAnsi="Times New Roman" w:cs="Times New Roman"/>
                <w:color w:val="auto"/>
                <w:spacing w:val="0"/>
              </w:rPr>
              <w:t>床医学硕士、流行病与卫生统计学、公共卫生硕士</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restart"/>
            <w:shd w:val="clear" w:color="auto" w:fill="auto"/>
            <w:vAlign w:val="center"/>
          </w:tcPr>
          <w:p>
            <w:pPr>
              <w:widowControl/>
              <w:spacing w:line="360" w:lineRule="exact"/>
              <w:jc w:val="center"/>
              <w:rPr>
                <w:rFonts w:ascii="Times New Roman" w:hAnsi="Times New Roman" w:eastAsia="宋体" w:cs="Times New Roman"/>
                <w:b/>
                <w:sz w:val="20"/>
                <w:szCs w:val="20"/>
              </w:rPr>
            </w:pPr>
            <w:r>
              <w:rPr>
                <w:rFonts w:hint="eastAsia" w:ascii="Times New Roman" w:hAnsi="Times New Roman" w:eastAsia="宋体" w:cs="Times New Roman"/>
                <w:sz w:val="20"/>
                <w:szCs w:val="20"/>
              </w:rPr>
              <w:t>引进待遇按照《张家界市人才引进实施办法》等有关规定制定</w:t>
            </w:r>
          </w:p>
        </w:tc>
        <w:tc>
          <w:tcPr>
            <w:tcW w:w="1027" w:type="dxa"/>
            <w:vMerge w:val="restart"/>
            <w:shd w:val="clear" w:color="auto" w:fill="auto"/>
            <w:vAlign w:val="center"/>
          </w:tcPr>
          <w:p>
            <w:pPr>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沈道谦</w:t>
            </w:r>
          </w:p>
        </w:tc>
        <w:tc>
          <w:tcPr>
            <w:tcW w:w="1444" w:type="dxa"/>
            <w:vMerge w:val="restart"/>
            <w:shd w:val="clear" w:color="auto" w:fill="auto"/>
            <w:vAlign w:val="center"/>
          </w:tcPr>
          <w:p>
            <w:pPr>
              <w:widowControl/>
              <w:spacing w:line="40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0744-8231645</w:t>
            </w:r>
          </w:p>
          <w:p>
            <w:pPr>
              <w:spacing w:line="360" w:lineRule="exact"/>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15707442583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54</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科教</w:t>
            </w:r>
          </w:p>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专干</w:t>
            </w:r>
          </w:p>
        </w:tc>
        <w:tc>
          <w:tcPr>
            <w:tcW w:w="561"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600"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临床医学硕士、内科学、病理学与病理生理学、免疫学</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55</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会计</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会计学、会计硕士，金融硕士、金融学（含保险学）、审计硕士、</w:t>
            </w:r>
          </w:p>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应用统计硕士</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425" w:type="dxa"/>
            <w:shd w:val="clear" w:color="auto" w:fill="auto"/>
            <w:vAlign w:val="center"/>
          </w:tcPr>
          <w:p>
            <w:pPr>
              <w:widowControl/>
              <w:spacing w:line="360" w:lineRule="exact"/>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56</w:t>
            </w:r>
          </w:p>
        </w:tc>
        <w:tc>
          <w:tcPr>
            <w:tcW w:w="2070"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900" w:type="dxa"/>
            <w:shd w:val="clear" w:color="auto" w:fill="auto"/>
            <w:vAlign w:val="center"/>
          </w:tcPr>
          <w:p>
            <w:pPr>
              <w:widowControl/>
              <w:spacing w:line="360" w:lineRule="exact"/>
              <w:jc w:val="center"/>
              <w:textAlignment w:val="center"/>
              <w:rPr>
                <w:rFonts w:ascii="Times New Roman" w:hAnsi="Times New Roman" w:eastAsia="宋体" w:cs="Times New Roman"/>
                <w:spacing w:val="0"/>
                <w:kern w:val="0"/>
                <w:sz w:val="20"/>
                <w:szCs w:val="20"/>
              </w:rPr>
            </w:pPr>
            <w:r>
              <w:rPr>
                <w:rFonts w:ascii="Times New Roman" w:hAnsi="Times New Roman" w:eastAsia="宋体" w:cs="Times New Roman"/>
                <w:spacing w:val="0"/>
                <w:kern w:val="0"/>
                <w:sz w:val="20"/>
                <w:szCs w:val="20"/>
              </w:rPr>
              <w:t>信息</w:t>
            </w:r>
          </w:p>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中心</w:t>
            </w:r>
            <w:r>
              <w:rPr>
                <w:rFonts w:ascii="Times New Roman" w:hAnsi="Times New Roman" w:eastAsia="宋体" w:cs="Times New Roman"/>
                <w:spacing w:val="0"/>
                <w:kern w:val="0"/>
                <w:sz w:val="20"/>
                <w:szCs w:val="20"/>
              </w:rPr>
              <w:br w:type="textWrapping"/>
            </w:r>
            <w:r>
              <w:rPr>
                <w:rFonts w:ascii="Times New Roman" w:hAnsi="Times New Roman" w:eastAsia="宋体" w:cs="Times New Roman"/>
                <w:spacing w:val="0"/>
                <w:kern w:val="0"/>
                <w:sz w:val="20"/>
                <w:szCs w:val="20"/>
              </w:rPr>
              <w:t>工程师</w:t>
            </w:r>
          </w:p>
        </w:tc>
        <w:tc>
          <w:tcPr>
            <w:tcW w:w="561" w:type="dxa"/>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60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1017"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35周岁及以下</w:t>
            </w:r>
          </w:p>
        </w:tc>
        <w:tc>
          <w:tcPr>
            <w:tcW w:w="1127" w:type="dxa"/>
            <w:shd w:val="clear" w:color="auto" w:fill="auto"/>
            <w:vAlign w:val="center"/>
          </w:tcPr>
          <w:p>
            <w:pPr>
              <w:widowControl/>
              <w:spacing w:line="360" w:lineRule="exact"/>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硕士</w:t>
            </w:r>
          </w:p>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研究生</w:t>
            </w:r>
          </w:p>
        </w:tc>
        <w:tc>
          <w:tcPr>
            <w:tcW w:w="2264" w:type="dxa"/>
            <w:shd w:val="clear" w:color="auto" w:fill="auto"/>
            <w:vAlign w:val="center"/>
          </w:tcPr>
          <w:p>
            <w:pPr>
              <w:widowControl/>
              <w:spacing w:line="360" w:lineRule="exact"/>
              <w:jc w:val="center"/>
              <w:textAlignment w:val="center"/>
              <w:rPr>
                <w:rFonts w:ascii="Times New Roman" w:hAnsi="Times New Roman" w:eastAsia="宋体" w:cs="Times New Roman"/>
                <w:spacing w:val="0"/>
                <w:sz w:val="20"/>
                <w:szCs w:val="20"/>
              </w:rPr>
            </w:pPr>
            <w:r>
              <w:rPr>
                <w:rFonts w:ascii="Times New Roman" w:hAnsi="Times New Roman" w:eastAsia="宋体" w:cs="Times New Roman"/>
                <w:spacing w:val="0"/>
                <w:kern w:val="0"/>
                <w:sz w:val="20"/>
                <w:szCs w:val="20"/>
              </w:rPr>
              <w:t>计算机软件与理论、计算机应用技术、软件工程、计算机技术硕士</w:t>
            </w:r>
          </w:p>
        </w:tc>
        <w:tc>
          <w:tcPr>
            <w:tcW w:w="1082"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240" w:type="dxa"/>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无</w:t>
            </w:r>
          </w:p>
        </w:tc>
        <w:tc>
          <w:tcPr>
            <w:tcW w:w="1197" w:type="dxa"/>
            <w:vMerge w:val="continue"/>
            <w:shd w:val="clear" w:color="auto" w:fill="auto"/>
            <w:vAlign w:val="center"/>
          </w:tcPr>
          <w:p>
            <w:pPr>
              <w:widowControl/>
              <w:spacing w:line="360" w:lineRule="exact"/>
              <w:jc w:val="center"/>
              <w:rPr>
                <w:rFonts w:ascii="Times New Roman" w:hAnsi="Times New Roman" w:eastAsia="宋体" w:cs="Times New Roman"/>
                <w:sz w:val="20"/>
                <w:szCs w:val="20"/>
              </w:rPr>
            </w:pPr>
          </w:p>
        </w:tc>
        <w:tc>
          <w:tcPr>
            <w:tcW w:w="1027"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c>
          <w:tcPr>
            <w:tcW w:w="1444" w:type="dxa"/>
            <w:vMerge w:val="continue"/>
            <w:shd w:val="clear" w:color="auto" w:fill="auto"/>
            <w:vAlign w:val="center"/>
          </w:tcPr>
          <w:p>
            <w:pPr>
              <w:widowControl/>
              <w:spacing w:line="360" w:lineRule="exact"/>
              <w:jc w:val="center"/>
              <w:textAlignment w:val="center"/>
              <w:rPr>
                <w:rFonts w:ascii="Times New Roman" w:hAnsi="Times New Roman" w:eastAsia="宋体" w:cs="Times New Roman"/>
                <w:sz w:val="20"/>
                <w:szCs w:val="20"/>
              </w:rPr>
            </w:pPr>
          </w:p>
        </w:tc>
      </w:tr>
    </w:tbl>
    <w:p>
      <w:pPr>
        <w:spacing w:line="580" w:lineRule="exact"/>
        <w:rPr>
          <w:rFonts w:ascii="Times New Roman" w:hAnsi="Times New Roman" w:cs="Times New Roman"/>
          <w:spacing w:val="0"/>
          <w:sz w:val="24"/>
          <w:szCs w:val="24"/>
        </w:rPr>
      </w:pPr>
    </w:p>
    <w:sectPr>
      <w:headerReference r:id="rId6" w:type="default"/>
      <w:footerReference r:id="rId7" w:type="default"/>
      <w:footerReference r:id="rId8" w:type="even"/>
      <w:pgSz w:w="16838" w:h="11906" w:orient="landscape"/>
      <w:pgMar w:top="1588" w:right="1588" w:bottom="1588" w:left="1474"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995"/>
    </w:sdtPr>
    <w:sdtContent>
      <w:p>
        <w:pPr>
          <w:pStyle w:val="8"/>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997"/>
    </w:sdtPr>
    <w:sdtContent>
      <w:p>
        <w:pPr>
          <w:pStyle w:val="8"/>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21 -</w:t>
    </w:r>
    <w:r>
      <w:rPr>
        <w:rFonts w:asciiTheme="minorEastAsia" w:hAnsiTheme="minorEastAsia"/>
        <w:sz w:val="28"/>
        <w:szCs w:val="28"/>
      </w:rPr>
      <w:fldChar w:fldCharType="end"/>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16" w:firstLine="5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54"/>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57D12"/>
    <w:rsid w:val="008A5F5A"/>
    <w:rsid w:val="008B2263"/>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740E5"/>
    <w:rsid w:val="00FD5AC8"/>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4745D4"/>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 w:val="9AAF07F4"/>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99"/>
    <w:pPr>
      <w:ind w:firstLine="420" w:firstLineChars="200"/>
    </w:pPr>
  </w:style>
  <w:style w:type="paragraph" w:styleId="3">
    <w:name w:val="Body Text Indent"/>
    <w:basedOn w:val="1"/>
    <w:link w:val="17"/>
    <w:qFormat/>
    <w:uiPriority w:val="99"/>
    <w:pPr>
      <w:spacing w:after="120"/>
      <w:ind w:left="420" w:leftChars="200"/>
    </w:pPr>
  </w:style>
  <w:style w:type="paragraph" w:styleId="4">
    <w:name w:val="Body Text"/>
    <w:basedOn w:val="1"/>
    <w:next w:val="1"/>
    <w:qFormat/>
    <w:uiPriority w:val="99"/>
    <w:rPr>
      <w:sz w:val="24"/>
    </w:rPr>
  </w:style>
  <w:style w:type="paragraph" w:styleId="5">
    <w:name w:val="Plain Text"/>
    <w:basedOn w:val="1"/>
    <w:link w:val="19"/>
    <w:qFormat/>
    <w:uiPriority w:val="0"/>
    <w:rPr>
      <w:rFonts w:hint="eastAsia" w:ascii="宋体" w:hAnsi="Courier New"/>
      <w:szCs w:val="30"/>
    </w:rPr>
  </w:style>
  <w:style w:type="paragraph" w:styleId="6">
    <w:name w:val="Date"/>
    <w:basedOn w:val="1"/>
    <w:next w:val="1"/>
    <w:link w:val="25"/>
    <w:qFormat/>
    <w:uiPriority w:val="0"/>
    <w:pPr>
      <w:ind w:left="100" w:leftChars="2500"/>
    </w:pPr>
  </w:style>
  <w:style w:type="paragraph" w:styleId="7">
    <w:name w:val="Balloon Text"/>
    <w:basedOn w:val="1"/>
    <w:link w:val="26"/>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Hyperlink"/>
    <w:basedOn w:val="13"/>
    <w:qFormat/>
    <w:uiPriority w:val="99"/>
    <w:rPr>
      <w:color w:val="0000FF"/>
      <w:u w:val="single"/>
    </w:rPr>
  </w:style>
  <w:style w:type="character" w:customStyle="1" w:styleId="17">
    <w:name w:val="正文文本缩进 Char"/>
    <w:basedOn w:val="13"/>
    <w:link w:val="3"/>
    <w:qFormat/>
    <w:uiPriority w:val="99"/>
    <w:rPr>
      <w:rFonts w:asciiTheme="minorHAnsi" w:hAnsiTheme="minorHAnsi" w:eastAsiaTheme="minorEastAsia" w:cstheme="minorBidi"/>
      <w:spacing w:val="-6"/>
      <w:kern w:val="2"/>
      <w:sz w:val="32"/>
      <w:szCs w:val="32"/>
    </w:rPr>
  </w:style>
  <w:style w:type="character" w:customStyle="1" w:styleId="18">
    <w:name w:val="正文首行缩进 2 Char"/>
    <w:basedOn w:val="17"/>
    <w:link w:val="2"/>
    <w:qFormat/>
    <w:uiPriority w:val="99"/>
  </w:style>
  <w:style w:type="character" w:customStyle="1" w:styleId="19">
    <w:name w:val="纯文本 Char"/>
    <w:basedOn w:val="13"/>
    <w:link w:val="5"/>
    <w:qFormat/>
    <w:uiPriority w:val="0"/>
    <w:rPr>
      <w:rFonts w:ascii="宋体" w:hAnsi="Courier New" w:eastAsiaTheme="minorEastAsia" w:cstheme="minorBidi"/>
      <w:spacing w:val="-6"/>
      <w:kern w:val="2"/>
      <w:sz w:val="32"/>
      <w:szCs w:val="30"/>
    </w:rPr>
  </w:style>
  <w:style w:type="character" w:customStyle="1" w:styleId="20">
    <w:name w:val="页脚 Char"/>
    <w:basedOn w:val="13"/>
    <w:link w:val="8"/>
    <w:qFormat/>
    <w:uiPriority w:val="99"/>
    <w:rPr>
      <w:rFonts w:asciiTheme="minorHAnsi" w:hAnsiTheme="minorHAnsi" w:eastAsiaTheme="minorEastAsia" w:cstheme="minorBidi"/>
      <w:spacing w:val="-6"/>
      <w:kern w:val="2"/>
      <w:sz w:val="18"/>
      <w:szCs w:val="18"/>
    </w:rPr>
  </w:style>
  <w:style w:type="character" w:customStyle="1" w:styleId="21">
    <w:name w:val="页眉 Char"/>
    <w:basedOn w:val="13"/>
    <w:link w:val="9"/>
    <w:qFormat/>
    <w:uiPriority w:val="99"/>
    <w:rPr>
      <w:rFonts w:asciiTheme="minorHAnsi" w:hAnsiTheme="minorHAnsi" w:eastAsiaTheme="minorEastAsia" w:cstheme="minorBidi"/>
      <w:spacing w:val="-6"/>
      <w:kern w:val="2"/>
      <w:sz w:val="18"/>
      <w:szCs w:val="18"/>
    </w:rPr>
  </w:style>
  <w:style w:type="character" w:customStyle="1" w:styleId="22">
    <w:name w:val="15"/>
    <w:basedOn w:val="13"/>
    <w:qFormat/>
    <w:uiPriority w:val="0"/>
    <w:rPr>
      <w:rFonts w:hint="eastAsia" w:ascii="宋体" w:hAnsi="宋体" w:eastAsia="宋体"/>
      <w:color w:val="000000"/>
      <w:sz w:val="21"/>
      <w:szCs w:val="21"/>
    </w:rPr>
  </w:style>
  <w:style w:type="paragraph" w:styleId="23">
    <w:name w:val="List Paragraph"/>
    <w:basedOn w:val="1"/>
    <w:qFormat/>
    <w:uiPriority w:val="34"/>
    <w:pPr>
      <w:ind w:firstLine="420" w:firstLineChars="200"/>
    </w:pPr>
  </w:style>
  <w:style w:type="character" w:customStyle="1" w:styleId="24">
    <w:name w:val="hei141"/>
    <w:basedOn w:val="13"/>
    <w:qFormat/>
    <w:uiPriority w:val="0"/>
    <w:rPr>
      <w:rFonts w:hint="eastAsia" w:ascii="宋体" w:hAnsi="宋体" w:eastAsia="宋体"/>
      <w:color w:val="000000"/>
      <w:sz w:val="21"/>
      <w:szCs w:val="21"/>
      <w:u w:val="none"/>
    </w:rPr>
  </w:style>
  <w:style w:type="character" w:customStyle="1" w:styleId="25">
    <w:name w:val="日期 Char"/>
    <w:basedOn w:val="13"/>
    <w:link w:val="6"/>
    <w:qFormat/>
    <w:uiPriority w:val="0"/>
    <w:rPr>
      <w:rFonts w:asciiTheme="minorHAnsi" w:hAnsiTheme="minorHAnsi" w:eastAsiaTheme="minorEastAsia" w:cstheme="minorBidi"/>
      <w:spacing w:val="-6"/>
      <w:kern w:val="2"/>
      <w:sz w:val="32"/>
      <w:szCs w:val="32"/>
    </w:rPr>
  </w:style>
  <w:style w:type="character" w:customStyle="1" w:styleId="26">
    <w:name w:val="批注框文本 Char"/>
    <w:basedOn w:val="13"/>
    <w:link w:val="7"/>
    <w:qFormat/>
    <w:uiPriority w:val="0"/>
    <w:rPr>
      <w:rFonts w:asciiTheme="minorHAnsi" w:hAnsiTheme="minorHAnsi" w:eastAsiaTheme="minorEastAsia" w:cstheme="minorBidi"/>
      <w:spacing w:val="-6"/>
      <w:kern w:val="2"/>
      <w:sz w:val="18"/>
      <w:szCs w:val="18"/>
    </w:rPr>
  </w:style>
  <w:style w:type="character" w:customStyle="1" w:styleId="27">
    <w:name w:val="font221"/>
    <w:basedOn w:val="13"/>
    <w:qFormat/>
    <w:uiPriority w:val="0"/>
    <w:rPr>
      <w:rFonts w:hint="default" w:ascii="Times New Roman" w:hAnsi="Times New Roman" w:cs="Times New Roman"/>
      <w:color w:val="000000"/>
      <w:sz w:val="20"/>
      <w:szCs w:val="20"/>
      <w:u w:val="none"/>
    </w:rPr>
  </w:style>
  <w:style w:type="character" w:customStyle="1" w:styleId="28">
    <w:name w:val="font151"/>
    <w:basedOn w:val="13"/>
    <w:qFormat/>
    <w:uiPriority w:val="0"/>
    <w:rPr>
      <w:rFonts w:hint="eastAsia" w:ascii="宋体" w:hAnsi="宋体" w:eastAsia="宋体" w:cs="宋体"/>
      <w:color w:val="000000"/>
      <w:sz w:val="20"/>
      <w:szCs w:val="20"/>
      <w:u w:val="none"/>
    </w:rPr>
  </w:style>
  <w:style w:type="character" w:customStyle="1" w:styleId="29">
    <w:name w:val="font131"/>
    <w:basedOn w:val="13"/>
    <w:qFormat/>
    <w:uiPriority w:val="0"/>
    <w:rPr>
      <w:rFonts w:hint="default" w:ascii="Times New Roman" w:hAnsi="Times New Roman" w:cs="Times New Roman"/>
      <w:color w:val="000000"/>
      <w:sz w:val="20"/>
      <w:szCs w:val="20"/>
      <w:u w:val="none"/>
    </w:rPr>
  </w:style>
  <w:style w:type="character" w:customStyle="1" w:styleId="30">
    <w:name w:val="font11"/>
    <w:basedOn w:val="13"/>
    <w:qFormat/>
    <w:uiPriority w:val="0"/>
    <w:rPr>
      <w:rFonts w:hint="eastAsia" w:ascii="宋体" w:hAnsi="宋体" w:eastAsia="宋体" w:cs="宋体"/>
      <w:color w:val="000000"/>
      <w:sz w:val="20"/>
      <w:szCs w:val="20"/>
      <w:u w:val="none"/>
    </w:rPr>
  </w:style>
  <w:style w:type="character" w:customStyle="1" w:styleId="31">
    <w:name w:val="font24"/>
    <w:basedOn w:val="13"/>
    <w:qFormat/>
    <w:uiPriority w:val="0"/>
    <w:rPr>
      <w:rFonts w:hint="eastAsia" w:ascii="宋体" w:hAnsi="宋体" w:eastAsia="宋体" w:cs="宋体"/>
      <w:color w:val="000000"/>
      <w:sz w:val="20"/>
      <w:szCs w:val="20"/>
      <w:u w:val="none"/>
    </w:rPr>
  </w:style>
  <w:style w:type="character" w:customStyle="1" w:styleId="32">
    <w:name w:val="font51"/>
    <w:basedOn w:val="13"/>
    <w:qFormat/>
    <w:uiPriority w:val="0"/>
    <w:rPr>
      <w:rFonts w:hint="default" w:ascii="Times New Roman" w:hAnsi="Times New Roman" w:cs="Times New Roman"/>
      <w:color w:val="000000"/>
      <w:sz w:val="20"/>
      <w:szCs w:val="20"/>
      <w:u w:val="none"/>
    </w:rPr>
  </w:style>
  <w:style w:type="character" w:customStyle="1" w:styleId="33">
    <w:name w:val="font01"/>
    <w:basedOn w:val="13"/>
    <w:qFormat/>
    <w:uiPriority w:val="0"/>
    <w:rPr>
      <w:rFonts w:hint="default" w:ascii="Times New Roman" w:hAnsi="Times New Roman" w:cs="Times New Roman"/>
      <w:color w:val="000000"/>
      <w:sz w:val="20"/>
      <w:szCs w:val="20"/>
      <w:u w:val="none"/>
    </w:rPr>
  </w:style>
  <w:style w:type="character" w:customStyle="1" w:styleId="34">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1432</Words>
  <Characters>8163</Characters>
  <Lines>68</Lines>
  <Paragraphs>19</Paragraphs>
  <TotalTime>0</TotalTime>
  <ScaleCrop>false</ScaleCrop>
  <LinksUpToDate>false</LinksUpToDate>
  <CharactersWithSpaces>9576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2021-11-30T09:52:00Z</dcterms:created>
  <dc:creator>爱峰的狒狒</dc:creator>
  <cp:lastModifiedBy>史蒂夫勒</cp:lastModifiedBy>
  <cp:lastPrinted>2021-12-01T17:54:00Z</cp:lastPrinted>
  <dcterms:modified xsi:type="dcterms:W3CDTF">2021-11-30T13:32:21Z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706BF66A91404AEEA2E7F2BDA26725D3</vt:lpwstr>
  </property>
</Properties>
</file>