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eastAsia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“嘉陵江英才工程”2021年度引才需求信息表</w:t>
      </w:r>
    </w:p>
    <w:tbl>
      <w:tblPr>
        <w:tblStyle w:val="4"/>
        <w:tblW w:w="14619" w:type="dxa"/>
        <w:jc w:val="center"/>
        <w:tblInd w:w="-1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948"/>
        <w:gridCol w:w="1013"/>
        <w:gridCol w:w="987"/>
        <w:gridCol w:w="438"/>
        <w:gridCol w:w="1262"/>
        <w:gridCol w:w="848"/>
        <w:gridCol w:w="703"/>
        <w:gridCol w:w="1471"/>
        <w:gridCol w:w="950"/>
        <w:gridCol w:w="1126"/>
        <w:gridCol w:w="2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四川省南充精神卫生中心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事业单位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pacing w:val="-10"/>
                <w:sz w:val="18"/>
                <w:szCs w:val="18"/>
              </w:rPr>
              <w:t>http://www.scsncjwzx.com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邮政</w:t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3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637000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周婉怡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0817-2318842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简体"/>
                <w:color w:val="000000"/>
                <w:kern w:val="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scsncjswszx@163.com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通讯</w:t>
            </w:r>
          </w:p>
          <w:p>
            <w:pPr>
              <w:widowControl/>
              <w:spacing w:line="280" w:lineRule="exact"/>
              <w:jc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南充市顺庆区白土坝路55号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单位简介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</w:rPr>
              <w:t>（</w:t>
            </w:r>
            <w:r>
              <w:rPr>
                <w:rFonts w:eastAsia="方正楷体简体"/>
                <w:color w:val="000000"/>
                <w:spacing w:val="-6"/>
                <w:kern w:val="0"/>
                <w:sz w:val="24"/>
              </w:rPr>
              <w:t>200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pacing w:val="-6"/>
                <w:kern w:val="0"/>
                <w:sz w:val="24"/>
              </w:rPr>
              <w:t>字左右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328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四川省南充精神卫生中心创建于1955年，是一所集医、防、教、研为一体的三级甲等精神病专科医院，四川省六大区域精神卫生中心之一，</w:t>
            </w:r>
            <w:r>
              <w:rPr>
                <w:rFonts w:hint="eastAsia" w:ascii="仿宋_GB2312" w:hAnsi="宋体" w:cs="仿宋_GB2312"/>
                <w:color w:val="000000"/>
                <w:szCs w:val="21"/>
                <w:shd w:val="clear" w:color="auto" w:fill="FFFFFF"/>
              </w:rPr>
              <w:t>同时也是南充</w:t>
            </w:r>
            <w:r>
              <w:rPr>
                <w:rFonts w:hint="eastAsia" w:ascii="仿宋_GB2312" w:hAnsi="仿宋_GB2312" w:cs="仿宋_GB2312"/>
                <w:szCs w:val="21"/>
              </w:rPr>
              <w:t>市精神病与精神卫生质量控制分中心、</w:t>
            </w:r>
            <w:r>
              <w:rPr>
                <w:rFonts w:hint="eastAsia" w:ascii="仿宋_GB2312" w:hAnsi="宋体" w:cs="仿宋_GB2312"/>
                <w:color w:val="000000"/>
                <w:szCs w:val="21"/>
                <w:shd w:val="clear" w:color="auto" w:fill="FFFFFF"/>
              </w:rPr>
              <w:t>精神医学司法鉴定定点机构、精神科医师规范化培训基地、专科护士规范化培训基地、区域心理卫生培训基地及川北医学院、南充卫校教学实习医院。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核心服务人群达l000多万人，辐射服务人群达3700多万人。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引进岗位</w:t>
            </w:r>
          </w:p>
        </w:tc>
        <w:tc>
          <w:tcPr>
            <w:tcW w:w="2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职务职称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需求</w:t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引进</w:t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</w:rPr>
              <w:t>提供薪酬、生活待遇或其他优惠条件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中西医结合医师</w:t>
            </w:r>
          </w:p>
        </w:tc>
        <w:tc>
          <w:tcPr>
            <w:tcW w:w="2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中西医结合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硕士研究生及以上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3</w:t>
            </w:r>
            <w:bookmarkStart w:id="0" w:name="_GoBack"/>
            <w:bookmarkEnd w:id="0"/>
            <w:r>
              <w:rPr>
                <w:rFonts w:hint="eastAsia" w:eastAsia="方正楷体简体"/>
                <w:color w:val="000000"/>
                <w:kern w:val="0"/>
                <w:sz w:val="24"/>
              </w:rPr>
              <w:t>5岁及以下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编制内刚性引进</w:t>
            </w:r>
          </w:p>
        </w:tc>
        <w:tc>
          <w:tcPr>
            <w:tcW w:w="2536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按“嘉陵江英才工程”规定资格条件享受相关待遇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普外科医师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外科学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</w:pPr>
          </w:p>
        </w:tc>
        <w:tc>
          <w:tcPr>
            <w:tcW w:w="1471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精神科医师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精神病与精神卫生学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</w:pPr>
          </w:p>
        </w:tc>
        <w:tc>
          <w:tcPr>
            <w:tcW w:w="1471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心内科医师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内科学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</w:pPr>
          </w:p>
        </w:tc>
        <w:tc>
          <w:tcPr>
            <w:tcW w:w="1471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心理治疗医师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应用心理学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</w:pPr>
          </w:p>
        </w:tc>
        <w:tc>
          <w:tcPr>
            <w:tcW w:w="1471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中医医师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针灸推拿学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</w:pPr>
          </w:p>
        </w:tc>
        <w:tc>
          <w:tcPr>
            <w:tcW w:w="1471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中医康复医师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康复医学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eastAsia="方正楷体简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E2CEC"/>
    <w:rsid w:val="1ADE2CEC"/>
    <w:rsid w:val="26741114"/>
    <w:rsid w:val="79A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2021-07-21T08:53:00Z</dcterms:created>
  <dc:creator>Lenovo</dc:creator>
  <cp:lastModifiedBy>Lenovo</cp:lastModifiedBy>
  <dcterms:modified xsi:type="dcterms:W3CDTF">2021-07-21T09:12:22Z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