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永泰县水电发展有限公司新入职员工</w:t>
      </w: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工资标准</w:t>
      </w:r>
    </w:p>
    <w:p>
      <w:pPr>
        <w:widowControl/>
        <w:ind w:firstLine="600" w:firstLineChars="200"/>
        <w:jc w:val="left"/>
        <w:rPr>
          <w:rFonts w:hint="eastAsia" w:ascii="仿宋" w:hAnsi="仿宋" w:eastAsia="仿宋" w:cs="仿宋"/>
          <w:kern w:val="0"/>
          <w:sz w:val="30"/>
          <w:szCs w:val="30"/>
        </w:rPr>
      </w:pPr>
    </w:p>
    <w:p>
      <w:pPr>
        <w:widowControl/>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经公司慎重研究决定，本次由永泰县人力资源和社会保障局统一公开招聘的新入职员工，其试用期工资标准及转正后固定级工资标准参照下表进行：</w:t>
      </w:r>
    </w:p>
    <w:tbl>
      <w:tblPr>
        <w:tblStyle w:val="2"/>
        <w:tblW w:w="89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14"/>
        <w:gridCol w:w="1734"/>
        <w:gridCol w:w="900"/>
        <w:gridCol w:w="900"/>
        <w:gridCol w:w="2880"/>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614" w:type="dxa"/>
            <w:vMerge w:val="restart"/>
            <w:tcBorders>
              <w:tl2br w:val="single" w:color="auto" w:sz="4" w:space="0"/>
            </w:tcBorders>
            <w:vAlign w:val="center"/>
          </w:tcPr>
          <w:p>
            <w:pPr>
              <w:widowControl/>
              <w:ind w:firstLine="600" w:firstLineChars="200"/>
              <w:rPr>
                <w:rFonts w:ascii="仿宋" w:hAnsi="仿宋" w:eastAsia="仿宋" w:cs="仿宋"/>
                <w:kern w:val="0"/>
                <w:sz w:val="30"/>
                <w:szCs w:val="30"/>
              </w:rPr>
            </w:pPr>
            <w:r>
              <w:rPr>
                <w:rFonts w:hint="eastAsia" w:ascii="仿宋" w:hAnsi="仿宋" w:eastAsia="仿宋" w:cs="仿宋"/>
                <w:kern w:val="0"/>
                <w:sz w:val="30"/>
                <w:szCs w:val="30"/>
              </w:rPr>
              <w:t>档次</w:t>
            </w:r>
          </w:p>
          <w:p>
            <w:pPr>
              <w:widowControl/>
              <w:ind w:firstLine="150" w:firstLineChars="50"/>
              <w:rPr>
                <w:rFonts w:ascii="仿宋" w:hAnsi="仿宋" w:eastAsia="仿宋" w:cs="仿宋"/>
                <w:kern w:val="0"/>
                <w:sz w:val="30"/>
                <w:szCs w:val="30"/>
              </w:rPr>
            </w:pPr>
            <w:r>
              <w:rPr>
                <w:rFonts w:hint="eastAsia" w:ascii="仿宋" w:hAnsi="仿宋" w:eastAsia="仿宋" w:cs="仿宋"/>
                <w:kern w:val="0"/>
                <w:sz w:val="30"/>
                <w:szCs w:val="30"/>
              </w:rPr>
              <w:t>学历</w:t>
            </w:r>
          </w:p>
        </w:tc>
        <w:tc>
          <w:tcPr>
            <w:tcW w:w="1734" w:type="dxa"/>
            <w:vMerge w:val="restart"/>
            <w:vAlign w:val="center"/>
          </w:tcPr>
          <w:p>
            <w:pPr>
              <w:widowControl/>
              <w:jc w:val="center"/>
              <w:rPr>
                <w:rFonts w:ascii="仿宋" w:hAnsi="仿宋" w:eastAsia="仿宋" w:cs="仿宋"/>
                <w:kern w:val="0"/>
                <w:sz w:val="30"/>
                <w:szCs w:val="30"/>
              </w:rPr>
            </w:pPr>
            <w:r>
              <w:rPr>
                <w:rFonts w:hint="eastAsia" w:ascii="仿宋" w:hAnsi="仿宋" w:eastAsia="仿宋" w:cs="仿宋"/>
                <w:kern w:val="0"/>
                <w:sz w:val="30"/>
                <w:szCs w:val="30"/>
              </w:rPr>
              <w:t>见习期或试用期工资</w:t>
            </w:r>
          </w:p>
        </w:tc>
        <w:tc>
          <w:tcPr>
            <w:tcW w:w="5580" w:type="dxa"/>
            <w:gridSpan w:val="4"/>
            <w:vAlign w:val="center"/>
          </w:tcPr>
          <w:p>
            <w:pPr>
              <w:widowControl/>
              <w:jc w:val="center"/>
              <w:rPr>
                <w:rFonts w:ascii="仿宋" w:hAnsi="仿宋" w:eastAsia="仿宋" w:cs="仿宋"/>
                <w:kern w:val="0"/>
                <w:sz w:val="30"/>
                <w:szCs w:val="30"/>
              </w:rPr>
            </w:pPr>
            <w:r>
              <w:rPr>
                <w:rFonts w:hint="eastAsia" w:ascii="仿宋" w:hAnsi="仿宋" w:eastAsia="仿宋" w:cs="仿宋"/>
                <w:kern w:val="0"/>
                <w:sz w:val="30"/>
                <w:szCs w:val="30"/>
              </w:rPr>
              <w:t>转正后固定级工资组成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7" w:hRule="atLeast"/>
        </w:trPr>
        <w:tc>
          <w:tcPr>
            <w:tcW w:w="1614" w:type="dxa"/>
            <w:vMerge w:val="continue"/>
            <w:vAlign w:val="center"/>
          </w:tcPr>
          <w:p>
            <w:pPr>
              <w:widowControl/>
              <w:jc w:val="center"/>
              <w:rPr>
                <w:rFonts w:ascii="仿宋" w:hAnsi="仿宋" w:eastAsia="仿宋" w:cs="仿宋"/>
                <w:kern w:val="0"/>
                <w:sz w:val="30"/>
                <w:szCs w:val="30"/>
              </w:rPr>
            </w:pPr>
          </w:p>
        </w:tc>
        <w:tc>
          <w:tcPr>
            <w:tcW w:w="1734" w:type="dxa"/>
            <w:vMerge w:val="continue"/>
            <w:vAlign w:val="center"/>
          </w:tcPr>
          <w:p>
            <w:pPr>
              <w:widowControl/>
              <w:jc w:val="center"/>
              <w:rPr>
                <w:rFonts w:ascii="仿宋" w:hAnsi="仿宋" w:eastAsia="仿宋" w:cs="仿宋"/>
                <w:kern w:val="0"/>
                <w:sz w:val="30"/>
                <w:szCs w:val="30"/>
              </w:rPr>
            </w:pPr>
          </w:p>
        </w:tc>
        <w:tc>
          <w:tcPr>
            <w:tcW w:w="900" w:type="dxa"/>
            <w:vAlign w:val="center"/>
          </w:tcPr>
          <w:p>
            <w:pPr>
              <w:widowControl/>
              <w:jc w:val="center"/>
              <w:rPr>
                <w:rFonts w:ascii="仿宋" w:hAnsi="仿宋" w:eastAsia="仿宋" w:cs="仿宋"/>
                <w:kern w:val="0"/>
                <w:sz w:val="30"/>
                <w:szCs w:val="30"/>
              </w:rPr>
            </w:pPr>
            <w:r>
              <w:rPr>
                <w:rFonts w:hint="eastAsia" w:ascii="仿宋" w:hAnsi="仿宋" w:eastAsia="仿宋" w:cs="仿宋"/>
                <w:kern w:val="0"/>
                <w:sz w:val="30"/>
                <w:szCs w:val="30"/>
              </w:rPr>
              <w:t>基础工资</w:t>
            </w:r>
          </w:p>
        </w:tc>
        <w:tc>
          <w:tcPr>
            <w:tcW w:w="900" w:type="dxa"/>
            <w:vAlign w:val="center"/>
          </w:tcPr>
          <w:p>
            <w:pPr>
              <w:widowControl/>
              <w:jc w:val="center"/>
              <w:rPr>
                <w:rFonts w:ascii="仿宋" w:hAnsi="仿宋" w:eastAsia="仿宋" w:cs="仿宋"/>
                <w:kern w:val="0"/>
                <w:sz w:val="30"/>
                <w:szCs w:val="30"/>
              </w:rPr>
            </w:pPr>
            <w:r>
              <w:rPr>
                <w:rFonts w:hint="eastAsia" w:ascii="仿宋" w:hAnsi="仿宋" w:eastAsia="仿宋" w:cs="仿宋"/>
                <w:kern w:val="0"/>
                <w:sz w:val="30"/>
                <w:szCs w:val="30"/>
              </w:rPr>
              <w:t>岗位工资</w:t>
            </w:r>
          </w:p>
        </w:tc>
        <w:tc>
          <w:tcPr>
            <w:tcW w:w="2880" w:type="dxa"/>
            <w:vAlign w:val="center"/>
          </w:tcPr>
          <w:p>
            <w:pPr>
              <w:widowControl/>
              <w:jc w:val="center"/>
              <w:rPr>
                <w:rFonts w:ascii="仿宋" w:hAnsi="仿宋" w:eastAsia="仿宋" w:cs="仿宋"/>
                <w:kern w:val="0"/>
                <w:sz w:val="30"/>
                <w:szCs w:val="30"/>
              </w:rPr>
            </w:pPr>
            <w:r>
              <w:rPr>
                <w:rFonts w:hint="eastAsia" w:ascii="仿宋" w:hAnsi="仿宋" w:eastAsia="仿宋" w:cs="仿宋"/>
                <w:kern w:val="0"/>
                <w:sz w:val="30"/>
                <w:szCs w:val="30"/>
              </w:rPr>
              <w:t>三项考评工资（安全、生产、精神文明）</w:t>
            </w:r>
          </w:p>
        </w:tc>
        <w:tc>
          <w:tcPr>
            <w:tcW w:w="900" w:type="dxa"/>
            <w:vAlign w:val="center"/>
          </w:tcPr>
          <w:p>
            <w:pPr>
              <w:widowControl/>
              <w:jc w:val="center"/>
              <w:rPr>
                <w:rFonts w:ascii="仿宋" w:hAnsi="仿宋" w:eastAsia="仿宋" w:cs="仿宋"/>
                <w:kern w:val="0"/>
                <w:sz w:val="30"/>
                <w:szCs w:val="30"/>
              </w:rPr>
            </w:pPr>
            <w:r>
              <w:rPr>
                <w:rFonts w:hint="eastAsia" w:ascii="仿宋" w:hAnsi="仿宋" w:eastAsia="仿宋" w:cs="仿宋"/>
                <w:kern w:val="0"/>
                <w:sz w:val="30"/>
                <w:szCs w:val="30"/>
              </w:rPr>
              <w:t>绩效工资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614" w:type="dxa"/>
            <w:vAlign w:val="center"/>
          </w:tcPr>
          <w:p>
            <w:pPr>
              <w:widowControl/>
              <w:jc w:val="center"/>
              <w:rPr>
                <w:rFonts w:ascii="仿宋" w:hAnsi="仿宋" w:eastAsia="仿宋" w:cs="仿宋"/>
                <w:kern w:val="0"/>
                <w:sz w:val="30"/>
                <w:szCs w:val="30"/>
              </w:rPr>
            </w:pPr>
            <w:r>
              <w:rPr>
                <w:rFonts w:hint="eastAsia" w:ascii="仿宋" w:hAnsi="仿宋" w:eastAsia="仿宋" w:cs="仿宋"/>
                <w:kern w:val="0"/>
                <w:sz w:val="30"/>
                <w:szCs w:val="30"/>
              </w:rPr>
              <w:t>研究生</w:t>
            </w:r>
          </w:p>
        </w:tc>
        <w:tc>
          <w:tcPr>
            <w:tcW w:w="1734" w:type="dxa"/>
            <w:vAlign w:val="center"/>
          </w:tcPr>
          <w:p>
            <w:pPr>
              <w:widowControl/>
              <w:jc w:val="center"/>
              <w:rPr>
                <w:rFonts w:ascii="仿宋" w:hAnsi="仿宋" w:eastAsia="仿宋" w:cs="仿宋"/>
                <w:kern w:val="0"/>
                <w:sz w:val="30"/>
                <w:szCs w:val="30"/>
              </w:rPr>
            </w:pPr>
            <w:r>
              <w:rPr>
                <w:rFonts w:ascii="仿宋" w:hAnsi="仿宋" w:eastAsia="仿宋" w:cs="仿宋"/>
                <w:kern w:val="0"/>
                <w:sz w:val="30"/>
                <w:szCs w:val="30"/>
              </w:rPr>
              <w:t>3000</w:t>
            </w:r>
          </w:p>
        </w:tc>
        <w:tc>
          <w:tcPr>
            <w:tcW w:w="900" w:type="dxa"/>
            <w:vAlign w:val="center"/>
          </w:tcPr>
          <w:p>
            <w:pPr>
              <w:widowControl/>
              <w:jc w:val="center"/>
              <w:rPr>
                <w:rFonts w:ascii="仿宋" w:hAnsi="仿宋" w:eastAsia="仿宋" w:cs="仿宋"/>
                <w:kern w:val="0"/>
                <w:sz w:val="30"/>
                <w:szCs w:val="30"/>
              </w:rPr>
            </w:pPr>
            <w:r>
              <w:rPr>
                <w:rFonts w:ascii="仿宋" w:hAnsi="仿宋" w:eastAsia="仿宋" w:cs="仿宋"/>
                <w:kern w:val="0"/>
                <w:sz w:val="30"/>
                <w:szCs w:val="30"/>
              </w:rPr>
              <w:t>2000</w:t>
            </w:r>
          </w:p>
        </w:tc>
        <w:tc>
          <w:tcPr>
            <w:tcW w:w="900" w:type="dxa"/>
            <w:vMerge w:val="restart"/>
            <w:vAlign w:val="center"/>
          </w:tcPr>
          <w:p>
            <w:pPr>
              <w:widowControl/>
              <w:jc w:val="center"/>
              <w:rPr>
                <w:rFonts w:ascii="仿宋" w:hAnsi="仿宋" w:eastAsia="仿宋" w:cs="仿宋"/>
                <w:kern w:val="0"/>
                <w:sz w:val="30"/>
                <w:szCs w:val="30"/>
              </w:rPr>
            </w:pPr>
            <w:r>
              <w:rPr>
                <w:rFonts w:ascii="仿宋" w:hAnsi="仿宋" w:eastAsia="仿宋" w:cs="仿宋"/>
                <w:kern w:val="0"/>
                <w:sz w:val="30"/>
                <w:szCs w:val="30"/>
              </w:rPr>
              <w:t>750</w:t>
            </w:r>
          </w:p>
        </w:tc>
        <w:tc>
          <w:tcPr>
            <w:tcW w:w="2880" w:type="dxa"/>
            <w:vMerge w:val="restart"/>
            <w:vAlign w:val="center"/>
          </w:tcPr>
          <w:p>
            <w:pPr>
              <w:widowControl/>
              <w:jc w:val="center"/>
              <w:rPr>
                <w:rFonts w:ascii="仿宋" w:hAnsi="仿宋" w:eastAsia="仿宋" w:cs="仿宋"/>
                <w:kern w:val="0"/>
                <w:sz w:val="30"/>
                <w:szCs w:val="30"/>
              </w:rPr>
            </w:pPr>
            <w:r>
              <w:rPr>
                <w:rFonts w:ascii="仿宋" w:hAnsi="仿宋" w:eastAsia="仿宋" w:cs="仿宋"/>
                <w:kern w:val="0"/>
                <w:sz w:val="30"/>
                <w:szCs w:val="30"/>
              </w:rPr>
              <w:t>810</w:t>
            </w:r>
          </w:p>
        </w:tc>
        <w:tc>
          <w:tcPr>
            <w:tcW w:w="900" w:type="dxa"/>
            <w:vMerge w:val="restart"/>
            <w:vAlign w:val="center"/>
          </w:tcPr>
          <w:p>
            <w:pPr>
              <w:widowControl/>
              <w:jc w:val="center"/>
              <w:rPr>
                <w:rFonts w:ascii="仿宋" w:hAnsi="仿宋" w:eastAsia="仿宋" w:cs="仿宋"/>
                <w:kern w:val="0"/>
                <w:sz w:val="30"/>
                <w:szCs w:val="30"/>
              </w:rPr>
            </w:pPr>
            <w:r>
              <w:rPr>
                <w:rFonts w:ascii="仿宋" w:hAnsi="仿宋" w:eastAsia="仿宋" w:cs="仿宋"/>
                <w:kern w:val="0"/>
                <w:sz w:val="30"/>
                <w:szCs w:val="30"/>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614" w:type="dxa"/>
            <w:vAlign w:val="center"/>
          </w:tcPr>
          <w:p>
            <w:pPr>
              <w:widowControl/>
              <w:jc w:val="center"/>
              <w:rPr>
                <w:rFonts w:ascii="仿宋" w:hAnsi="仿宋" w:eastAsia="仿宋" w:cs="仿宋"/>
                <w:kern w:val="0"/>
                <w:sz w:val="30"/>
                <w:szCs w:val="30"/>
              </w:rPr>
            </w:pPr>
            <w:r>
              <w:rPr>
                <w:rFonts w:hint="eastAsia" w:ascii="仿宋" w:hAnsi="仿宋" w:eastAsia="仿宋" w:cs="仿宋"/>
                <w:kern w:val="0"/>
                <w:sz w:val="30"/>
                <w:szCs w:val="30"/>
              </w:rPr>
              <w:t>本科</w:t>
            </w:r>
          </w:p>
        </w:tc>
        <w:tc>
          <w:tcPr>
            <w:tcW w:w="1734" w:type="dxa"/>
            <w:vAlign w:val="center"/>
          </w:tcPr>
          <w:p>
            <w:pPr>
              <w:widowControl/>
              <w:jc w:val="center"/>
              <w:rPr>
                <w:rFonts w:ascii="仿宋" w:hAnsi="仿宋" w:eastAsia="仿宋" w:cs="仿宋"/>
                <w:kern w:val="0"/>
                <w:sz w:val="30"/>
                <w:szCs w:val="30"/>
              </w:rPr>
            </w:pPr>
            <w:r>
              <w:rPr>
                <w:rFonts w:ascii="仿宋" w:hAnsi="仿宋" w:eastAsia="仿宋" w:cs="仿宋"/>
                <w:kern w:val="0"/>
                <w:sz w:val="30"/>
                <w:szCs w:val="30"/>
              </w:rPr>
              <w:t>2500</w:t>
            </w:r>
          </w:p>
        </w:tc>
        <w:tc>
          <w:tcPr>
            <w:tcW w:w="900" w:type="dxa"/>
            <w:vAlign w:val="center"/>
          </w:tcPr>
          <w:p>
            <w:pPr>
              <w:widowControl/>
              <w:jc w:val="center"/>
              <w:rPr>
                <w:rFonts w:ascii="仿宋" w:hAnsi="仿宋" w:eastAsia="仿宋" w:cs="仿宋"/>
                <w:kern w:val="0"/>
                <w:sz w:val="30"/>
                <w:szCs w:val="30"/>
              </w:rPr>
            </w:pPr>
            <w:r>
              <w:rPr>
                <w:rFonts w:ascii="仿宋" w:hAnsi="仿宋" w:eastAsia="仿宋" w:cs="仿宋"/>
                <w:kern w:val="0"/>
                <w:sz w:val="30"/>
                <w:szCs w:val="30"/>
              </w:rPr>
              <w:t>1200</w:t>
            </w:r>
          </w:p>
        </w:tc>
        <w:tc>
          <w:tcPr>
            <w:tcW w:w="900" w:type="dxa"/>
            <w:vMerge w:val="continue"/>
            <w:vAlign w:val="center"/>
          </w:tcPr>
          <w:p>
            <w:pPr>
              <w:widowControl/>
              <w:jc w:val="center"/>
              <w:rPr>
                <w:rFonts w:ascii="仿宋" w:hAnsi="仿宋" w:eastAsia="仿宋" w:cs="仿宋"/>
                <w:kern w:val="0"/>
                <w:sz w:val="30"/>
                <w:szCs w:val="30"/>
              </w:rPr>
            </w:pPr>
          </w:p>
        </w:tc>
        <w:tc>
          <w:tcPr>
            <w:tcW w:w="2880" w:type="dxa"/>
            <w:vMerge w:val="continue"/>
            <w:vAlign w:val="center"/>
          </w:tcPr>
          <w:p>
            <w:pPr>
              <w:widowControl/>
              <w:jc w:val="center"/>
              <w:rPr>
                <w:rFonts w:ascii="仿宋" w:hAnsi="仿宋" w:eastAsia="仿宋" w:cs="仿宋"/>
                <w:kern w:val="0"/>
                <w:sz w:val="30"/>
                <w:szCs w:val="30"/>
              </w:rPr>
            </w:pPr>
          </w:p>
        </w:tc>
        <w:tc>
          <w:tcPr>
            <w:tcW w:w="900" w:type="dxa"/>
            <w:vMerge w:val="continue"/>
            <w:vAlign w:val="center"/>
          </w:tcPr>
          <w:p>
            <w:pPr>
              <w:widowControl/>
              <w:jc w:val="center"/>
              <w:rPr>
                <w:rFonts w:ascii="仿宋" w:hAnsi="仿宋" w:eastAsia="仿宋" w:cs="仿宋"/>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614" w:type="dxa"/>
            <w:vAlign w:val="center"/>
          </w:tcPr>
          <w:p>
            <w:pPr>
              <w:widowControl/>
              <w:jc w:val="center"/>
              <w:rPr>
                <w:rFonts w:ascii="仿宋" w:hAnsi="仿宋" w:eastAsia="仿宋" w:cs="仿宋"/>
                <w:kern w:val="0"/>
                <w:sz w:val="30"/>
                <w:szCs w:val="30"/>
              </w:rPr>
            </w:pPr>
            <w:r>
              <w:rPr>
                <w:rFonts w:hint="eastAsia" w:ascii="仿宋" w:hAnsi="仿宋" w:eastAsia="仿宋" w:cs="仿宋"/>
                <w:kern w:val="0"/>
                <w:sz w:val="30"/>
                <w:szCs w:val="30"/>
              </w:rPr>
              <w:t>大专</w:t>
            </w:r>
          </w:p>
        </w:tc>
        <w:tc>
          <w:tcPr>
            <w:tcW w:w="1734" w:type="dxa"/>
            <w:vAlign w:val="center"/>
          </w:tcPr>
          <w:p>
            <w:pPr>
              <w:widowControl/>
              <w:jc w:val="center"/>
              <w:rPr>
                <w:rFonts w:ascii="仿宋" w:hAnsi="仿宋" w:eastAsia="仿宋" w:cs="仿宋"/>
                <w:kern w:val="0"/>
                <w:sz w:val="30"/>
                <w:szCs w:val="30"/>
              </w:rPr>
            </w:pPr>
            <w:r>
              <w:rPr>
                <w:rFonts w:ascii="仿宋" w:hAnsi="仿宋" w:eastAsia="仿宋" w:cs="仿宋"/>
                <w:kern w:val="0"/>
                <w:sz w:val="30"/>
                <w:szCs w:val="30"/>
              </w:rPr>
              <w:t>2000</w:t>
            </w:r>
          </w:p>
        </w:tc>
        <w:tc>
          <w:tcPr>
            <w:tcW w:w="900" w:type="dxa"/>
            <w:vAlign w:val="center"/>
          </w:tcPr>
          <w:p>
            <w:pPr>
              <w:widowControl/>
              <w:jc w:val="center"/>
              <w:rPr>
                <w:rFonts w:ascii="仿宋" w:hAnsi="仿宋" w:eastAsia="仿宋" w:cs="仿宋"/>
                <w:kern w:val="0"/>
                <w:sz w:val="30"/>
                <w:szCs w:val="30"/>
              </w:rPr>
            </w:pPr>
            <w:r>
              <w:rPr>
                <w:rFonts w:ascii="仿宋" w:hAnsi="仿宋" w:eastAsia="仿宋" w:cs="仿宋"/>
                <w:kern w:val="0"/>
                <w:sz w:val="30"/>
                <w:szCs w:val="30"/>
              </w:rPr>
              <w:t>800</w:t>
            </w:r>
          </w:p>
        </w:tc>
        <w:tc>
          <w:tcPr>
            <w:tcW w:w="900" w:type="dxa"/>
            <w:vMerge w:val="continue"/>
            <w:vAlign w:val="center"/>
          </w:tcPr>
          <w:p>
            <w:pPr>
              <w:widowControl/>
              <w:jc w:val="center"/>
              <w:rPr>
                <w:rFonts w:ascii="仿宋" w:hAnsi="仿宋" w:eastAsia="仿宋" w:cs="仿宋"/>
                <w:kern w:val="0"/>
                <w:sz w:val="30"/>
                <w:szCs w:val="30"/>
              </w:rPr>
            </w:pPr>
          </w:p>
        </w:tc>
        <w:tc>
          <w:tcPr>
            <w:tcW w:w="2880" w:type="dxa"/>
            <w:vMerge w:val="continue"/>
            <w:vAlign w:val="center"/>
          </w:tcPr>
          <w:p>
            <w:pPr>
              <w:widowControl/>
              <w:jc w:val="center"/>
              <w:rPr>
                <w:rFonts w:ascii="仿宋" w:hAnsi="仿宋" w:eastAsia="仿宋" w:cs="仿宋"/>
                <w:kern w:val="0"/>
                <w:sz w:val="30"/>
                <w:szCs w:val="30"/>
              </w:rPr>
            </w:pPr>
          </w:p>
        </w:tc>
        <w:tc>
          <w:tcPr>
            <w:tcW w:w="900" w:type="dxa"/>
            <w:vMerge w:val="continue"/>
            <w:vAlign w:val="center"/>
          </w:tcPr>
          <w:p>
            <w:pPr>
              <w:widowControl/>
              <w:jc w:val="center"/>
              <w:rPr>
                <w:rFonts w:ascii="仿宋" w:hAnsi="仿宋" w:eastAsia="仿宋" w:cs="仿宋"/>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614" w:type="dxa"/>
            <w:vAlign w:val="center"/>
          </w:tcPr>
          <w:p>
            <w:pPr>
              <w:widowControl/>
              <w:jc w:val="center"/>
              <w:rPr>
                <w:rFonts w:ascii="仿宋" w:hAnsi="仿宋" w:eastAsia="仿宋" w:cs="仿宋"/>
                <w:kern w:val="0"/>
                <w:sz w:val="30"/>
                <w:szCs w:val="30"/>
              </w:rPr>
            </w:pPr>
            <w:r>
              <w:rPr>
                <w:rFonts w:hint="eastAsia" w:ascii="仿宋" w:hAnsi="仿宋" w:eastAsia="仿宋" w:cs="仿宋"/>
                <w:kern w:val="0"/>
                <w:sz w:val="30"/>
                <w:szCs w:val="30"/>
              </w:rPr>
              <w:t>中专</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高中</w:t>
            </w:r>
          </w:p>
        </w:tc>
        <w:tc>
          <w:tcPr>
            <w:tcW w:w="1734" w:type="dxa"/>
            <w:vAlign w:val="center"/>
          </w:tcPr>
          <w:p>
            <w:pPr>
              <w:widowControl/>
              <w:jc w:val="center"/>
              <w:rPr>
                <w:rFonts w:ascii="仿宋" w:hAnsi="仿宋" w:eastAsia="仿宋" w:cs="仿宋"/>
                <w:kern w:val="0"/>
                <w:sz w:val="30"/>
                <w:szCs w:val="30"/>
              </w:rPr>
            </w:pPr>
            <w:r>
              <w:rPr>
                <w:rFonts w:ascii="仿宋" w:hAnsi="仿宋" w:eastAsia="仿宋" w:cs="仿宋"/>
                <w:kern w:val="0"/>
                <w:sz w:val="30"/>
                <w:szCs w:val="30"/>
              </w:rPr>
              <w:t>1800</w:t>
            </w:r>
          </w:p>
        </w:tc>
        <w:tc>
          <w:tcPr>
            <w:tcW w:w="900" w:type="dxa"/>
            <w:vAlign w:val="center"/>
          </w:tcPr>
          <w:p>
            <w:pPr>
              <w:widowControl/>
              <w:jc w:val="center"/>
              <w:rPr>
                <w:rFonts w:ascii="仿宋" w:hAnsi="仿宋" w:eastAsia="仿宋" w:cs="仿宋"/>
                <w:kern w:val="0"/>
                <w:sz w:val="30"/>
                <w:szCs w:val="30"/>
              </w:rPr>
            </w:pPr>
            <w:r>
              <w:rPr>
                <w:rFonts w:ascii="仿宋" w:hAnsi="仿宋" w:eastAsia="仿宋" w:cs="仿宋"/>
                <w:kern w:val="0"/>
                <w:sz w:val="30"/>
                <w:szCs w:val="30"/>
              </w:rPr>
              <w:t>600</w:t>
            </w:r>
          </w:p>
        </w:tc>
        <w:tc>
          <w:tcPr>
            <w:tcW w:w="900" w:type="dxa"/>
            <w:vMerge w:val="continue"/>
            <w:vAlign w:val="center"/>
          </w:tcPr>
          <w:p>
            <w:pPr>
              <w:widowControl/>
              <w:jc w:val="center"/>
              <w:rPr>
                <w:rFonts w:ascii="仿宋" w:hAnsi="仿宋" w:eastAsia="仿宋" w:cs="仿宋"/>
                <w:kern w:val="0"/>
                <w:sz w:val="30"/>
                <w:szCs w:val="30"/>
              </w:rPr>
            </w:pPr>
          </w:p>
        </w:tc>
        <w:tc>
          <w:tcPr>
            <w:tcW w:w="2880" w:type="dxa"/>
            <w:vMerge w:val="continue"/>
            <w:vAlign w:val="center"/>
          </w:tcPr>
          <w:p>
            <w:pPr>
              <w:widowControl/>
              <w:jc w:val="center"/>
              <w:rPr>
                <w:rFonts w:ascii="仿宋" w:hAnsi="仿宋" w:eastAsia="仿宋" w:cs="仿宋"/>
                <w:kern w:val="0"/>
                <w:sz w:val="30"/>
                <w:szCs w:val="30"/>
              </w:rPr>
            </w:pPr>
          </w:p>
        </w:tc>
        <w:tc>
          <w:tcPr>
            <w:tcW w:w="900" w:type="dxa"/>
            <w:vMerge w:val="continue"/>
            <w:vAlign w:val="center"/>
          </w:tcPr>
          <w:p>
            <w:pPr>
              <w:widowControl/>
              <w:jc w:val="center"/>
              <w:rPr>
                <w:rFonts w:ascii="仿宋" w:hAnsi="仿宋" w:eastAsia="仿宋" w:cs="仿宋"/>
                <w:kern w:val="0"/>
                <w:sz w:val="30"/>
                <w:szCs w:val="30"/>
              </w:rPr>
            </w:pPr>
          </w:p>
        </w:tc>
      </w:tr>
    </w:tbl>
    <w:p>
      <w:pPr>
        <w:widowControl/>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注：新入厂员工试用期为三个月，上表所述各类人员的学历均以参加工作时的全日制教育第一学历为准</w:t>
      </w:r>
    </w:p>
    <w:p>
      <w:pPr>
        <w:ind w:firstLine="560" w:firstLineChars="200"/>
        <w:jc w:val="left"/>
        <w:rPr>
          <w:rFonts w:hint="default" w:ascii="仿宋_GB2312" w:hAnsi="仿宋_GB2312" w:eastAsia="仿宋_GB2312" w:cs="仿宋_GB2312"/>
          <w:sz w:val="28"/>
          <w:szCs w:val="28"/>
          <w:vertAlign w:val="baseline"/>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D46A36"/>
    <w:rsid w:val="00B96906"/>
    <w:rsid w:val="58F522C1"/>
    <w:rsid w:val="65D46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2021-05-31T07:06:00Z</dcterms:created>
  <dc:creator>楠木南</dc:creator>
  <cp:lastModifiedBy>楠木南</cp:lastModifiedBy>
  <dcterms:modified xsi:type="dcterms:W3CDTF">2021-05-31T07:34:55Z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