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方正小标宋简体" w:hAnsi="方正小标宋简体" w:eastAsia="方正小标宋简体" w:cs="方正小标宋简体"/>
          <w:b w:val="0"/>
          <w:color w:val="000000" w:themeColor="text1"/>
          <w:kern w:val="2"/>
          <w:sz w:val="44"/>
          <w:szCs w:val="44"/>
          <w:lang w:val="en-US" w:eastAsia="zh-CN" w:bidi="ar-SA"/>
          <w14:textFill>
            <w14:solidFill>
              <w14:schemeClr w14:val="tx1"/>
            </w14:solidFill>
          </w14:textFill>
        </w:rPr>
      </w:pPr>
      <w:bookmarkStart w:id="0" w:name="_GoBack"/>
      <w:r>
        <w:rPr>
          <w:rFonts w:hint="eastAsia" w:ascii="方正小标宋简体" w:hAnsi="方正小标宋简体" w:eastAsia="方正小标宋简体" w:cs="方正小标宋简体"/>
          <w:b w:val="0"/>
          <w:color w:val="000000" w:themeColor="text1"/>
          <w:kern w:val="2"/>
          <w:sz w:val="44"/>
          <w:szCs w:val="44"/>
          <w:lang w:val="en-US" w:eastAsia="zh-CN" w:bidi="ar-SA"/>
          <w14:textFill>
            <w14:solidFill>
              <w14:schemeClr w14:val="tx1"/>
            </w14:solidFill>
          </w14:textFill>
        </w:rPr>
        <w:t>那坡县坡荷乡人民政府2021年补充招聘乡级档案员、村级扶贫信息员简章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ascii="仿宋_GB2312" w:hAnsi="微软雅黑" w:eastAsia="仿宋_GB2312" w:cs="仿宋_GB2312"/>
          <w:i w:val="0"/>
          <w:caps w:val="0"/>
          <w:color w:val="000000" w:themeColor="text1"/>
          <w:spacing w:val="0"/>
          <w:sz w:val="31"/>
          <w:szCs w:val="31"/>
          <w:shd w:val="clear" w:fill="FFFFFF"/>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为及时补充基层扶贫工作力量，经研究同意，按照公开、平等、竞争、择优的原则，决定面向全县公开补充招聘村级</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扶贫信息员。</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黑体" w:cs="Times New Roman"/>
          <w:color w:val="000000" w:themeColor="text1"/>
          <w:kern w:val="2"/>
          <w:sz w:val="32"/>
          <w:szCs w:val="22"/>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32"/>
          <w:szCs w:val="22"/>
          <w:lang w:val="en-US" w:eastAsia="zh-CN" w:bidi="ar-SA"/>
          <w14:textFill>
            <w14:solidFill>
              <w14:schemeClr w14:val="tx1"/>
            </w14:solidFill>
          </w14:textFill>
        </w:rPr>
        <w:t>招聘数量、职位及聘期</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right="0" w:rightChars="0" w:firstLine="640" w:firstLineChars="200"/>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（一）招聘数量。</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补充招聘</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1名乡级档案员、5</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名村级扶贫信息员</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（二）招聘职位。那坡县</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乡级档案员、</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村级扶贫信息员。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（三）聘期。从聘任之日起</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，合同一年一签</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。所聘用人员身份为</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乡、</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村级组织特设岗位人员，系非国家公职人员身份。</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645" w:leftChars="0" w:right="0" w:rightChars="0"/>
        <w:jc w:val="both"/>
        <w:rPr>
          <w:rFonts w:hint="eastAsia" w:ascii="Times New Roman" w:hAnsi="Times New Roman" w:eastAsia="黑体" w:cs="Times New Roman"/>
          <w:color w:val="000000" w:themeColor="text1"/>
          <w:kern w:val="2"/>
          <w:sz w:val="32"/>
          <w:szCs w:val="22"/>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32"/>
          <w:szCs w:val="22"/>
          <w:lang w:val="en-US" w:eastAsia="zh-CN" w:bidi="ar-SA"/>
          <w14:textFill>
            <w14:solidFill>
              <w14:schemeClr w14:val="tx1"/>
            </w14:solidFill>
          </w14:textFill>
        </w:rPr>
        <w:t>二、报名条件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b/>
          <w:bCs/>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22"/>
          <w:lang w:val="en-US" w:eastAsia="zh-CN" w:bidi="ar-SA"/>
          <w14:textFill>
            <w14:solidFill>
              <w14:schemeClr w14:val="tx1"/>
            </w14:solidFill>
          </w14:textFill>
        </w:rPr>
        <w:t>（一）招聘人员基本条件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1.思想政治素质好，自愿到农村基层工作，作风踏实，吃苦耐劳，甘于奉献，组织纪律观念强，有一定的组织协调能力；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2.具有大专以上（含大专）学历；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3.18周岁以上35周岁以下（即1985年10月31日--1999年11月1日期间出生），身体健康；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4.能熟练使用电脑进行文档操作；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5.</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优先考虑</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那坡县户籍的常住人口</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6.身体健康，具有履职能力的。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b/>
          <w:bCs/>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22"/>
          <w:lang w:val="en-US" w:eastAsia="zh-CN" w:bidi="ar-SA"/>
          <w14:textFill>
            <w14:solidFill>
              <w14:schemeClr w14:val="tx1"/>
            </w14:solidFill>
          </w14:textFill>
        </w:rPr>
        <w:t>（二）有下列情形之一的不得参加选聘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1. 受过刑事处罚、劳动教养、少年管教的；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2. 有违法、犯罪嫌疑尚未查清的。</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645" w:leftChars="0" w:right="0" w:rightChars="0"/>
        <w:jc w:val="both"/>
        <w:rPr>
          <w:rFonts w:hint="eastAsia" w:ascii="Times New Roman" w:hAnsi="Times New Roman" w:eastAsia="黑体" w:cs="Times New Roman"/>
          <w:color w:val="000000" w:themeColor="text1"/>
          <w:kern w:val="2"/>
          <w:sz w:val="32"/>
          <w:szCs w:val="22"/>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32"/>
          <w:szCs w:val="22"/>
          <w:lang w:val="en-US" w:eastAsia="zh-CN" w:bidi="ar-SA"/>
          <w14:textFill>
            <w14:solidFill>
              <w14:schemeClr w14:val="tx1"/>
            </w14:solidFill>
          </w14:textFill>
        </w:rPr>
        <w:t>三、招聘程序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b/>
          <w:bCs/>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22"/>
          <w:lang w:val="en-US" w:eastAsia="zh-CN" w:bidi="ar-SA"/>
          <w14:textFill>
            <w14:solidFill>
              <w14:schemeClr w14:val="tx1"/>
            </w14:solidFill>
          </w14:textFill>
        </w:rPr>
        <w:t>（一）报名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本次选聘采取现场报名的方式（需本人亲自到场报名、不受理委托报名）。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1.报名时间：2021年</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月</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19</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日至</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月</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28</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日，每天上午8：00—12：00，下午15：00—1</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0（双休日不办理报名手续）。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2.报名地点：那坡县</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坡荷</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乡党政办公室（</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联系人：莫忠霞，</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联系电话：0776—</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6960010</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邮箱</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phx6960010@163.com</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3.报名办法：报考者持本人有效身份证、户口簿、毕业证</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其他专业证书、技术等级证书（如会计证、驾驶证等）</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原件及复印件（各1份）接受报名资格审查，合格者填写《那坡县</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坡荷</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乡2021年补充招聘村级扶贫信息员报名登记表》，交近期2寸免冠半身白底彩色照片1张。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b/>
          <w:bCs/>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22"/>
          <w:lang w:val="en-US" w:eastAsia="zh-CN" w:bidi="ar-SA"/>
          <w14:textFill>
            <w14:solidFill>
              <w14:schemeClr w14:val="tx1"/>
            </w14:solidFill>
          </w14:textFill>
        </w:rPr>
        <w:t>（二）面试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电脑测试合格者进行结构化面试，面试按百分制计算。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1.面试时间：待定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2.面试地点：</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坡荷</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乡人民政府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b/>
          <w:bCs/>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22"/>
          <w:lang w:val="en-US" w:eastAsia="zh-CN" w:bidi="ar-SA"/>
          <w14:textFill>
            <w14:solidFill>
              <w14:schemeClr w14:val="tx1"/>
            </w14:solidFill>
          </w14:textFill>
        </w:rPr>
        <w:t>（三）体检和考察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根据面试成绩从高分到低分，按聘用人数的1：1.2的比例确定对象，并组织体检。凡体检合格者都作为考察对象，考察合格者但未被聘用的，列入候补人员，为补录工作做好准备。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b/>
          <w:bCs/>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22"/>
          <w:lang w:val="en-US" w:eastAsia="zh-CN" w:bidi="ar-SA"/>
          <w14:textFill>
            <w14:solidFill>
              <w14:schemeClr w14:val="tx1"/>
            </w14:solidFill>
          </w14:textFill>
        </w:rPr>
        <w:t>（四）公示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根据面试成绩、体检和考察情况，按面试成绩从高分到低分等额确定拟选聘对象，会同县相关部门进行审核，并经招聘工作领导小组审定，将拟聘用名单通过那坡县政府网等媒体进行公示，公示期为5天。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b/>
          <w:bCs/>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22"/>
          <w:lang w:val="en-US" w:eastAsia="zh-CN" w:bidi="ar-SA"/>
          <w14:textFill>
            <w14:solidFill>
              <w14:schemeClr w14:val="tx1"/>
            </w14:solidFill>
          </w14:textFill>
        </w:rPr>
        <w:t>（五）聘用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经公示无异议的拟聘用对象，按有关规定办理聘用手续，与</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坡荷</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乡人民政府签订聘用合同，一年一考核。聘用人员未在规定时间内签订合同或签订合同后10个工作日内未到岗的，视为自动放弃。因公示调查核实不合格者或本人放弃聘用等原因导致拟聘人员缺额时，按照候补人员总成绩从高到低顺序递补。</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645" w:leftChars="0" w:right="0" w:rightChars="0"/>
        <w:jc w:val="both"/>
        <w:rPr>
          <w:rFonts w:hint="eastAsia" w:ascii="Times New Roman" w:hAnsi="Times New Roman" w:eastAsia="黑体" w:cs="Times New Roman"/>
          <w:color w:val="000000" w:themeColor="text1"/>
          <w:kern w:val="2"/>
          <w:sz w:val="32"/>
          <w:szCs w:val="22"/>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32"/>
          <w:szCs w:val="22"/>
          <w:lang w:val="en-US" w:eastAsia="zh-CN" w:bidi="ar-SA"/>
          <w14:textFill>
            <w14:solidFill>
              <w14:schemeClr w14:val="tx1"/>
            </w14:solidFill>
          </w14:textFill>
        </w:rPr>
        <w:t>四、工资社保待遇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（一）聘用期间工资待遇每月2000元。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（二）享受政策规定的基本养老保险、失业保险、城镇职工基本医疗保险、工伤保险、生育保险。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（三）基本工资（2000元）由用人单位负担部分的社会保险纳入地方预算，个人负担部分由用人单位从个人工资中扣缴。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（四）年度绩效奖励与县聘临时工享受同等待遇。</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645" w:leftChars="0" w:right="0" w:rightChars="0" w:firstLine="320" w:firstLineChars="100"/>
        <w:jc w:val="both"/>
        <w:rPr>
          <w:rFonts w:hint="eastAsia" w:ascii="Times New Roman" w:hAnsi="Times New Roman" w:eastAsia="黑体" w:cs="Times New Roman"/>
          <w:color w:val="000000" w:themeColor="text1"/>
          <w:kern w:val="2"/>
          <w:sz w:val="32"/>
          <w:szCs w:val="22"/>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32"/>
          <w:szCs w:val="22"/>
          <w:lang w:val="en-US" w:eastAsia="zh-CN" w:bidi="ar-SA"/>
          <w14:textFill>
            <w14:solidFill>
              <w14:schemeClr w14:val="tx1"/>
            </w14:solidFill>
          </w14:textFill>
        </w:rPr>
        <w:t>五、解聘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（一）考核不合格者给予解聘。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（二）聘用人员在聘用期间因违纪违法或违反管理规定的予以解聘。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（三）个人要求解除合同的，经聘用双方协商同意后，予以解聘。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（四）聘用期结束，聘用关系自动解除。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（五）对解聘的人员或聘用期满自动解除聘用关系的人员，一律不办理任何经济补偿。</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645" w:leftChars="0" w:right="0" w:rightChars="0" w:firstLine="320" w:firstLineChars="100"/>
        <w:jc w:val="both"/>
        <w:rPr>
          <w:rFonts w:hint="eastAsia" w:ascii="Times New Roman" w:hAnsi="Times New Roman" w:eastAsia="黑体" w:cs="Times New Roman"/>
          <w:color w:val="000000" w:themeColor="text1"/>
          <w:kern w:val="2"/>
          <w:sz w:val="32"/>
          <w:szCs w:val="22"/>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32"/>
          <w:szCs w:val="22"/>
          <w:lang w:val="en-US" w:eastAsia="zh-CN" w:bidi="ar-SA"/>
          <w14:textFill>
            <w14:solidFill>
              <w14:schemeClr w14:val="tx1"/>
            </w14:solidFill>
          </w14:textFill>
        </w:rPr>
        <w:t>六、管理及服务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（一）对聘用人员实行合同制管理，按聘用合同、《那坡县村级扶贫信息员管理考核办法》等进行管理及考核，由</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坡荷</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乡党委和人民政府负责日常管理，同时接受村“两委”的领导和管理。县人社局与</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坡荷</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乡党委和人民政府协同考核。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（二）聘用人员为村级扶贫信息员。主要工作职责为：按照自治区、百色市、那坡县及各乡（镇）的工作部署，负责推进所在村扶贫各项工作。聘用人员工作和生活安排在所负责的村。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（三）在村任职期间，组织关系转至所在村。聘用人员聘用期间必须在村从事扶贫相关工作，任何单位不得借调使用。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645" w:leftChars="0" w:right="0" w:rightChars="0" w:firstLine="320" w:firstLineChars="100"/>
        <w:jc w:val="both"/>
        <w:rPr>
          <w:rFonts w:hint="eastAsia" w:ascii="Times New Roman" w:hAnsi="Times New Roman" w:eastAsia="黑体" w:cs="Times New Roman"/>
          <w:color w:val="000000" w:themeColor="text1"/>
          <w:kern w:val="2"/>
          <w:sz w:val="32"/>
          <w:szCs w:val="22"/>
          <w:lang w:val="en-US" w:eastAsia="zh-CN" w:bidi="ar-SA"/>
          <w14:textFill>
            <w14:solidFill>
              <w14:schemeClr w14:val="tx1"/>
            </w14:solidFill>
          </w14:textFill>
        </w:rPr>
      </w:pPr>
      <w:r>
        <w:rPr>
          <w:rFonts w:hint="eastAsia" w:ascii="Times New Roman" w:hAnsi="Times New Roman" w:eastAsia="黑体" w:cs="Times New Roman"/>
          <w:color w:val="000000" w:themeColor="text1"/>
          <w:kern w:val="2"/>
          <w:sz w:val="32"/>
          <w:szCs w:val="22"/>
          <w:lang w:val="en-US" w:eastAsia="zh-CN" w:bidi="ar-SA"/>
          <w14:textFill>
            <w14:solidFill>
              <w14:schemeClr w14:val="tx1"/>
            </w14:solidFill>
          </w14:textFill>
        </w:rPr>
        <w:t>七、招聘工作监督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由乡纪检组负责对此次村级扶贫信息员补充招聘工作进行全程监督，及时受理招聘过程中群众反映的问题，对调查属实的按有关规定严肃处理。对村级扶贫信息员补充招聘录用的相关事宜，由</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坡荷</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乡人民政府负责解释。 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right="0" w:firstLine="640" w:firstLineChars="200"/>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附件</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那坡县</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坡荷</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乡2021年补充招聘报名登记表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                       </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那坡县</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坡荷</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乡人民政府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                       </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 </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2021年</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月</w:t>
      </w:r>
      <w:r>
        <w:rPr>
          <w:rFonts w:hint="eastAsia" w:ascii="Times New Roman" w:hAnsi="Times New Roman" w:eastAsia="仿宋_GB2312" w:cs="Times New Roman"/>
          <w:color w:val="000000" w:themeColor="text1"/>
          <w:kern w:val="2"/>
          <w:sz w:val="32"/>
          <w:szCs w:val="22"/>
          <w:lang w:val="en-US" w:eastAsia="zh-CN" w:bidi="ar-SA"/>
          <w14:textFill>
            <w14:solidFill>
              <w14:schemeClr w14:val="tx1"/>
            </w14:solidFill>
          </w14:textFill>
        </w:rPr>
        <w:t>18</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both"/>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right="0"/>
        <w:jc w:val="both"/>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right="0"/>
        <w:jc w:val="both"/>
        <w:rPr>
          <w:rFonts w:hint="eastAsia" w:ascii="方正小标宋简体" w:hAnsi="方正小标宋简体" w:eastAsia="方正小标宋简体" w:cs="方正小标宋简体"/>
          <w:color w:val="000000" w:themeColor="text1"/>
          <w:kern w:val="2"/>
          <w:sz w:val="32"/>
          <w:szCs w:val="32"/>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32"/>
          <w:szCs w:val="32"/>
          <w:lang w:val="en-US" w:eastAsia="zh-CN" w:bidi="ar-SA"/>
          <w14:textFill>
            <w14:solidFill>
              <w14:schemeClr w14:val="tx1"/>
            </w14:solidFill>
          </w14:textFill>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left="0" w:right="0" w:firstLine="645"/>
        <w:jc w:val="center"/>
        <w:rPr>
          <w:rFonts w:hint="default" w:ascii="方正小标宋简体" w:hAnsi="方正小标宋简体" w:eastAsia="方正小标宋简体" w:cs="方正小标宋简体"/>
          <w:color w:val="000000" w:themeColor="text1"/>
          <w:kern w:val="2"/>
          <w:sz w:val="32"/>
          <w:szCs w:val="32"/>
          <w:lang w:val="en-US" w:eastAsia="zh-CN" w:bidi="ar-SA"/>
          <w14:textFill>
            <w14:solidFill>
              <w14:schemeClr w14:val="tx1"/>
            </w14:solidFill>
          </w14:textFill>
        </w:rPr>
      </w:pPr>
      <w:r>
        <w:rPr>
          <w:rFonts w:hint="default" w:ascii="方正小标宋简体" w:hAnsi="方正小标宋简体" w:eastAsia="方正小标宋简体" w:cs="方正小标宋简体"/>
          <w:color w:val="000000" w:themeColor="text1"/>
          <w:kern w:val="2"/>
          <w:sz w:val="32"/>
          <w:szCs w:val="32"/>
          <w:lang w:val="en-US" w:eastAsia="zh-CN" w:bidi="ar-SA"/>
          <w14:textFill>
            <w14:solidFill>
              <w14:schemeClr w14:val="tx1"/>
            </w14:solidFill>
          </w14:textFill>
        </w:rPr>
        <w:t>  那坡县</w:t>
      </w:r>
      <w:r>
        <w:rPr>
          <w:rFonts w:hint="eastAsia" w:ascii="方正小标宋简体" w:hAnsi="方正小标宋简体" w:eastAsia="方正小标宋简体" w:cs="方正小标宋简体"/>
          <w:color w:val="000000" w:themeColor="text1"/>
          <w:kern w:val="2"/>
          <w:sz w:val="32"/>
          <w:szCs w:val="32"/>
          <w:lang w:val="en-US" w:eastAsia="zh-CN" w:bidi="ar-SA"/>
          <w14:textFill>
            <w14:solidFill>
              <w14:schemeClr w14:val="tx1"/>
            </w14:solidFill>
          </w14:textFill>
        </w:rPr>
        <w:t>坡荷</w:t>
      </w:r>
      <w:r>
        <w:rPr>
          <w:rFonts w:hint="default" w:ascii="方正小标宋简体" w:hAnsi="方正小标宋简体" w:eastAsia="方正小标宋简体" w:cs="方正小标宋简体"/>
          <w:color w:val="000000" w:themeColor="text1"/>
          <w:kern w:val="2"/>
          <w:sz w:val="32"/>
          <w:szCs w:val="32"/>
          <w:lang w:val="en-US" w:eastAsia="zh-CN" w:bidi="ar-SA"/>
          <w14:textFill>
            <w14:solidFill>
              <w14:schemeClr w14:val="tx1"/>
            </w14:solidFill>
          </w14:textFill>
        </w:rPr>
        <w:t>乡2021年补充招聘报名登记表</w:t>
      </w:r>
    </w:p>
    <w:tbl>
      <w:tblPr>
        <w:tblStyle w:val="8"/>
        <w:tblpPr w:leftFromText="180" w:rightFromText="180" w:vertAnchor="text" w:horzAnchor="page" w:tblpX="1250" w:tblpY="613"/>
        <w:tblOverlap w:val="never"/>
        <w:tblW w:w="9795" w:type="dxa"/>
        <w:tblInd w:w="0" w:type="dxa"/>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14"/>
        <w:gridCol w:w="1097"/>
        <w:gridCol w:w="1674"/>
        <w:gridCol w:w="1270"/>
        <w:gridCol w:w="1292"/>
        <w:gridCol w:w="1731"/>
        <w:gridCol w:w="1517"/>
      </w:tblGrid>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65" w:hRule="atLeast"/>
        </w:trPr>
        <w:tc>
          <w:tcPr>
            <w:tcW w:w="12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姓 名</w:t>
            </w:r>
          </w:p>
        </w:tc>
        <w:tc>
          <w:tcPr>
            <w:tcW w:w="109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c>
          <w:tcPr>
            <w:tcW w:w="167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性 别</w:t>
            </w:r>
          </w:p>
        </w:tc>
        <w:tc>
          <w:tcPr>
            <w:tcW w:w="127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c>
          <w:tcPr>
            <w:tcW w:w="129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15"/>
                <w:sz w:val="24"/>
                <w:szCs w:val="24"/>
                <w14:textFill>
                  <w14:solidFill>
                    <w14:schemeClr w14:val="tx1"/>
                  </w14:solidFill>
                </w14:textFill>
              </w:rPr>
              <w:t>民族</w:t>
            </w:r>
          </w:p>
        </w:tc>
        <w:tc>
          <w:tcPr>
            <w:tcW w:w="173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c>
          <w:tcPr>
            <w:tcW w:w="1517"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近期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二寸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免冠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照片</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95" w:hRule="atLeast"/>
        </w:trPr>
        <w:tc>
          <w:tcPr>
            <w:tcW w:w="12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15"/>
                <w:sz w:val="24"/>
                <w:szCs w:val="24"/>
                <w14:textFill>
                  <w14:solidFill>
                    <w14:schemeClr w14:val="tx1"/>
                  </w14:solidFill>
                </w14:textFill>
              </w:rPr>
              <w:t>出生年月</w:t>
            </w:r>
          </w:p>
        </w:tc>
        <w:tc>
          <w:tcPr>
            <w:tcW w:w="10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籍 贯</w:t>
            </w:r>
          </w:p>
        </w:tc>
        <w:tc>
          <w:tcPr>
            <w:tcW w:w="1270" w:type="dxa"/>
            <w:tcBorders>
              <w:top w:val="nil"/>
              <w:left w:val="nil"/>
              <w:bottom w:val="single" w:color="auto" w:sz="4"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c>
          <w:tcPr>
            <w:tcW w:w="1292" w:type="dxa"/>
            <w:tcBorders>
              <w:top w:val="nil"/>
              <w:left w:val="nil"/>
              <w:bottom w:val="single" w:color="auto" w:sz="4"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15"/>
                <w:sz w:val="24"/>
                <w:szCs w:val="24"/>
                <w14:textFill>
                  <w14:solidFill>
                    <w14:schemeClr w14:val="tx1"/>
                  </w14:solidFill>
                </w14:textFill>
              </w:rPr>
              <w:t>出生地</w:t>
            </w:r>
          </w:p>
        </w:tc>
        <w:tc>
          <w:tcPr>
            <w:tcW w:w="1731" w:type="dxa"/>
            <w:tcBorders>
              <w:top w:val="nil"/>
              <w:left w:val="nil"/>
              <w:bottom w:val="single" w:color="auto" w:sz="4"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c>
          <w:tcPr>
            <w:tcW w:w="1517"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color w:val="000000" w:themeColor="text1"/>
                <w:sz w:val="24"/>
                <w:szCs w:val="24"/>
                <w14:textFill>
                  <w14:solidFill>
                    <w14:schemeClr w14:val="tx1"/>
                  </w14:solidFill>
                </w14:textFill>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19" w:hRule="atLeast"/>
        </w:trPr>
        <w:tc>
          <w:tcPr>
            <w:tcW w:w="12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政治面貌</w:t>
            </w:r>
          </w:p>
        </w:tc>
        <w:tc>
          <w:tcPr>
            <w:tcW w:w="10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c>
          <w:tcPr>
            <w:tcW w:w="1674" w:type="dxa"/>
            <w:tcBorders>
              <w:top w:val="nil"/>
              <w:left w:val="nil"/>
              <w:bottom w:val="single" w:color="auto" w:sz="6" w:space="0"/>
              <w:right w:val="single" w:color="auto" w:sz="4"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入党</w:t>
            </w:r>
            <w:r>
              <w:rPr>
                <w:rFonts w:hint="default" w:ascii="仿宋_GB2312" w:eastAsia="仿宋_GB2312" w:cs="仿宋_GB2312"/>
                <w:i w:val="0"/>
                <w:color w:val="000000" w:themeColor="text1"/>
                <w:spacing w:val="-15"/>
                <w:sz w:val="24"/>
                <w:szCs w:val="24"/>
                <w14:textFill>
                  <w14:solidFill>
                    <w14:schemeClr w14:val="tx1"/>
                  </w14:solidFill>
                </w14:textFill>
              </w:rPr>
              <w:t>(团)</w:t>
            </w:r>
            <w:r>
              <w:rPr>
                <w:rFonts w:hint="default" w:ascii="仿宋_GB2312" w:eastAsia="仿宋_GB2312" w:cs="仿宋_GB2312"/>
                <w:i w:val="0"/>
                <w:color w:val="000000" w:themeColor="text1"/>
                <w:spacing w:val="0"/>
                <w:sz w:val="24"/>
                <w:szCs w:val="24"/>
                <w14:textFill>
                  <w14:solidFill>
                    <w14:schemeClr w14:val="tx1"/>
                  </w14:solidFill>
                </w14:textFill>
              </w:rPr>
              <w:t>时间</w:t>
            </w:r>
          </w:p>
        </w:tc>
        <w:tc>
          <w:tcPr>
            <w:tcW w:w="127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c>
          <w:tcPr>
            <w:tcW w:w="12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15"/>
                <w:sz w:val="24"/>
                <w:szCs w:val="24"/>
                <w14:textFill>
                  <w14:solidFill>
                    <w14:schemeClr w14:val="tx1"/>
                  </w14:solidFill>
                </w14:textFill>
              </w:rPr>
              <w:t>健康状况</w:t>
            </w:r>
          </w:p>
        </w:tc>
        <w:tc>
          <w:tcPr>
            <w:tcW w:w="173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c>
          <w:tcPr>
            <w:tcW w:w="1517" w:type="dxa"/>
            <w:vMerge w:val="continue"/>
            <w:tcBorders>
              <w:top w:val="single" w:color="auto" w:sz="6" w:space="0"/>
              <w:left w:val="single" w:color="auto" w:sz="4" w:space="0"/>
              <w:bottom w:val="single" w:color="auto" w:sz="6" w:space="0"/>
              <w:right w:val="single" w:color="auto" w:sz="6" w:space="0"/>
            </w:tcBorders>
            <w:shd w:val="clear" w:color="auto" w:fill="FFFFFF"/>
            <w:tcMar>
              <w:left w:w="105" w:type="dxa"/>
              <w:right w:w="105" w:type="dxa"/>
            </w:tcMar>
            <w:vAlign w:val="center"/>
          </w:tcPr>
          <w:p>
            <w:pPr>
              <w:rPr>
                <w:rFonts w:hint="eastAsia" w:ascii="宋体"/>
                <w:color w:val="000000" w:themeColor="text1"/>
                <w:sz w:val="24"/>
                <w:szCs w:val="24"/>
                <w14:textFill>
                  <w14:solidFill>
                    <w14:schemeClr w14:val="tx1"/>
                  </w14:solidFill>
                </w14:textFill>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0" w:hRule="atLeast"/>
        </w:trPr>
        <w:tc>
          <w:tcPr>
            <w:tcW w:w="12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有何专长</w:t>
            </w:r>
          </w:p>
        </w:tc>
        <w:tc>
          <w:tcPr>
            <w:tcW w:w="10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c>
          <w:tcPr>
            <w:tcW w:w="1674" w:type="dxa"/>
            <w:tcBorders>
              <w:top w:val="nil"/>
              <w:left w:val="nil"/>
              <w:bottom w:val="single" w:color="auto" w:sz="6" w:space="0"/>
              <w:right w:val="single" w:color="auto" w:sz="4"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身份证号码</w:t>
            </w:r>
          </w:p>
        </w:tc>
        <w:tc>
          <w:tcPr>
            <w:tcW w:w="4293" w:type="dxa"/>
            <w:gridSpan w:val="3"/>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c>
          <w:tcPr>
            <w:tcW w:w="1517" w:type="dxa"/>
            <w:vMerge w:val="continue"/>
            <w:tcBorders>
              <w:top w:val="single" w:color="auto" w:sz="6" w:space="0"/>
              <w:left w:val="single" w:color="auto" w:sz="4" w:space="0"/>
              <w:bottom w:val="single" w:color="auto" w:sz="6" w:space="0"/>
              <w:right w:val="single" w:color="auto" w:sz="6" w:space="0"/>
            </w:tcBorders>
            <w:shd w:val="clear" w:color="auto" w:fill="FFFFFF"/>
            <w:tcMar>
              <w:left w:w="105" w:type="dxa"/>
              <w:right w:w="105" w:type="dxa"/>
            </w:tcMar>
            <w:vAlign w:val="center"/>
          </w:tcPr>
          <w:p>
            <w:pPr>
              <w:rPr>
                <w:rFonts w:hint="eastAsia" w:ascii="宋体"/>
                <w:color w:val="000000" w:themeColor="text1"/>
                <w:sz w:val="24"/>
                <w:szCs w:val="24"/>
                <w14:textFill>
                  <w14:solidFill>
                    <w14:schemeClr w14:val="tx1"/>
                  </w14:solidFill>
                </w14:textFill>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12" w:hRule="atLeast"/>
        </w:trPr>
        <w:tc>
          <w:tcPr>
            <w:tcW w:w="12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学 历</w:t>
            </w:r>
          </w:p>
        </w:tc>
        <w:tc>
          <w:tcPr>
            <w:tcW w:w="10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15"/>
                <w:sz w:val="24"/>
                <w:szCs w:val="24"/>
                <w14:textFill>
                  <w14:solidFill>
                    <w14:schemeClr w14:val="tx1"/>
                  </w14:solidFill>
                </w14:textFill>
              </w:rPr>
              <w:t>毕业院校系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15"/>
                <w:sz w:val="24"/>
                <w:szCs w:val="24"/>
                <w14:textFill>
                  <w14:solidFill>
                    <w14:schemeClr w14:val="tx1"/>
                  </w14:solidFill>
                </w14:textFill>
              </w:rPr>
              <w:t>及专业</w:t>
            </w:r>
          </w:p>
        </w:tc>
        <w:tc>
          <w:tcPr>
            <w:tcW w:w="581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10" w:hRule="atLeast"/>
        </w:trPr>
        <w:tc>
          <w:tcPr>
            <w:tcW w:w="12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学 位</w:t>
            </w:r>
          </w:p>
        </w:tc>
        <w:tc>
          <w:tcPr>
            <w:tcW w:w="1097"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c>
          <w:tcPr>
            <w:tcW w:w="167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15"/>
                <w:sz w:val="24"/>
                <w:szCs w:val="24"/>
                <w14:textFill>
                  <w14:solidFill>
                    <w14:schemeClr w14:val="tx1"/>
                  </w14:solidFill>
                </w14:textFill>
              </w:rPr>
              <w:t>担任职务</w:t>
            </w:r>
          </w:p>
        </w:tc>
        <w:tc>
          <w:tcPr>
            <w:tcW w:w="581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55" w:hRule="atLeast"/>
        </w:trPr>
        <w:tc>
          <w:tcPr>
            <w:tcW w:w="231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家庭详细住址</w:t>
            </w:r>
          </w:p>
        </w:tc>
        <w:tc>
          <w:tcPr>
            <w:tcW w:w="7484" w:type="dxa"/>
            <w:gridSpan w:val="5"/>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40" w:hRule="atLeast"/>
        </w:trPr>
        <w:tc>
          <w:tcPr>
            <w:tcW w:w="12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联系电话</w:t>
            </w:r>
          </w:p>
        </w:tc>
        <w:tc>
          <w:tcPr>
            <w:tcW w:w="4041"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c>
          <w:tcPr>
            <w:tcW w:w="129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电子信箱</w:t>
            </w:r>
          </w:p>
        </w:tc>
        <w:tc>
          <w:tcPr>
            <w:tcW w:w="3248"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45" w:hRule="atLeast"/>
        </w:trPr>
        <w:tc>
          <w:tcPr>
            <w:tcW w:w="12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45"/>
              <w:jc w:val="both"/>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奖惩情况</w:t>
            </w:r>
          </w:p>
        </w:tc>
        <w:tc>
          <w:tcPr>
            <w:tcW w:w="8581"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color w:val="000000" w:themeColor="text1"/>
                <w14:textFill>
                  <w14:solidFill>
                    <w14:schemeClr w14:val="tx1"/>
                  </w14:solidFill>
                </w14:textFill>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131" w:hRule="atLeast"/>
        </w:trPr>
        <w:tc>
          <w:tcPr>
            <w:tcW w:w="12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历</w:t>
            </w:r>
          </w:p>
        </w:tc>
        <w:tc>
          <w:tcPr>
            <w:tcW w:w="8581"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300" w:hRule="atLeast"/>
        </w:trPr>
        <w:tc>
          <w:tcPr>
            <w:tcW w:w="121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个</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诺</w:t>
            </w:r>
          </w:p>
        </w:tc>
        <w:tc>
          <w:tcPr>
            <w:tcW w:w="8581" w:type="dxa"/>
            <w:gridSpan w:val="6"/>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firstLine="405"/>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1.本人自愿选聘到贫困村任职，保证本人相关信息真实。</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firstLine="405"/>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2.本人将按照规定的时间及时前往相应服务地报到，并服从岗位分配，除不可抗力外，不以任何理由拖延。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firstLine="405"/>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3.服务期间，本人将自觉遵守国家法律和《那坡县村级扶贫专干管理考核办法》的管理规定，爱岗敬业，尽职尽责。</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firstLine="405"/>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4.服务期满，按时离岗，并做好工作交接。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0"/>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2100"/>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0"/>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             本人签字：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4560"/>
              <w:rPr>
                <w:color w:val="000000" w:themeColor="text1"/>
                <w14:textFill>
                  <w14:solidFill>
                    <w14:schemeClr w14:val="tx1"/>
                  </w14:solidFill>
                </w14:textFill>
              </w:rPr>
            </w:pPr>
            <w:r>
              <w:rPr>
                <w:rFonts w:hint="default" w:ascii="仿宋_GB2312" w:eastAsia="仿宋_GB2312" w:cs="仿宋_GB2312"/>
                <w:i w:val="0"/>
                <w:color w:val="000000" w:themeColor="text1"/>
                <w:spacing w:val="0"/>
                <w:sz w:val="24"/>
                <w:szCs w:val="24"/>
                <w14:textFill>
                  <w14:solidFill>
                    <w14:schemeClr w14:val="tx1"/>
                  </w14:solidFill>
                </w14:textFill>
              </w:rPr>
              <w:t>年　　月　　日</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jc w:val="both"/>
        <w:rPr>
          <w:rFonts w:hint="default" w:ascii="仿宋_GB2312" w:hAnsi="微软雅黑" w:eastAsia="仿宋_GB2312" w:cs="仿宋_GB2312"/>
          <w:i w:val="0"/>
          <w:caps w:val="0"/>
          <w:color w:val="000000" w:themeColor="text1"/>
          <w:spacing w:val="0"/>
          <w:sz w:val="52"/>
          <w:szCs w:val="52"/>
          <w:shd w:val="clear" w:fill="FFFFFF"/>
          <w14:textFill>
            <w14:solidFill>
              <w14:schemeClr w14:val="tx1"/>
            </w14:solidFill>
          </w14:textFill>
        </w:rPr>
        <w:sectPr>
          <w:pgSz w:w="11906" w:h="16838"/>
          <w:pgMar w:top="1667" w:right="1406" w:bottom="1667" w:left="1463" w:header="851" w:footer="992" w:gutter="0"/>
          <w:cols w:space="0" w:num="1"/>
          <w:rtlGutter w:val="0"/>
          <w:docGrid w:type="lines" w:linePitch="312" w:charSpace="0"/>
        </w:sect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750" w:afterAutospacing="0" w:line="27" w:lineRule="atLeast"/>
        <w:ind w:left="0" w:right="0"/>
        <w:rPr>
          <w:color w:val="000000" w:themeColor="text1"/>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ascii="宋体" w:hAnsi="宋体" w:eastAsia="宋体" w:cs="宋体"/>
          <w:i w:val="0"/>
          <w:caps w:val="0"/>
          <w:color w:val="000000" w:themeColor="text1"/>
          <w:spacing w:val="0"/>
          <w:sz w:val="21"/>
          <w:szCs w:val="21"/>
          <w14:textFill>
            <w14:solidFill>
              <w14:schemeClr w14:val="tx1"/>
            </w14:solidFill>
          </w14:textFill>
        </w:rPr>
      </w:pPr>
    </w:p>
    <w:p>
      <w:pPr>
        <w:rPr>
          <w:rFonts w:hint="eastAsia"/>
          <w:color w:val="000000" w:themeColor="text1"/>
          <w:lang w:val="en-US" w:eastAsia="zh-CN"/>
          <w14:textFill>
            <w14:solidFill>
              <w14:schemeClr w14:val="tx1"/>
            </w14:solidFill>
          </w14:textFill>
        </w:rPr>
      </w:pPr>
    </w:p>
    <w:sectPr>
      <w:pgSz w:w="11906" w:h="16838"/>
      <w:pgMar w:top="1667" w:right="1406" w:bottom="1667"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CE914"/>
    <w:multiLevelType w:val="singleLevel"/>
    <w:tmpl w:val="616CE9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D27DD"/>
    <w:rsid w:val="0A045215"/>
    <w:rsid w:val="0FF17313"/>
    <w:rsid w:val="1327477B"/>
    <w:rsid w:val="16BF2552"/>
    <w:rsid w:val="30165B9C"/>
    <w:rsid w:val="3EBD07D2"/>
    <w:rsid w:val="3EE56F25"/>
    <w:rsid w:val="3F7F155A"/>
    <w:rsid w:val="4A9A2637"/>
    <w:rsid w:val="512139F2"/>
    <w:rsid w:val="51AC73E5"/>
    <w:rsid w:val="5209424A"/>
    <w:rsid w:val="5A1F4879"/>
    <w:rsid w:val="5A4D27DD"/>
    <w:rsid w:val="616F288D"/>
    <w:rsid w:val="66A83B37"/>
    <w:rsid w:val="68980384"/>
    <w:rsid w:val="6B9C6C63"/>
    <w:rsid w:val="73927C97"/>
    <w:rsid w:val="73D65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方正小标宋简体" w:hAnsi="方正小标宋简体" w:eastAsia="宋体" w:cs="方正小标宋简体"/>
      <w:color w:val="000000"/>
      <w:kern w:val="0"/>
      <w:sz w:val="24"/>
      <w:szCs w:val="24"/>
      <w:lang w:val="en-US" w:eastAsia="zh-CN" w:bidi="ar-SA"/>
    </w:r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2021-05-18T04:26:00Z</dcterms:created>
  <dc:creator>phx69</dc:creator>
  <cp:lastModifiedBy>phx69</cp:lastModifiedBy>
  <cp:lastPrinted>2021-05-18T04:30:00Z</cp:lastPrinted>
  <dcterms:modified xsi:type="dcterms:W3CDTF">2021-05-19T00:59:06Z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C9F6E3D1A39843B59C86152D719C0893</vt:lpwstr>
  </property>
</Properties>
</file>