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left"/>
        <w:rPr>
          <w:rFonts w:eastAsia="方正黑体_GBK"/>
          <w:kern w:val="0"/>
          <w:sz w:val="32"/>
          <w:szCs w:val="32"/>
        </w:rPr>
      </w:pPr>
      <w:r>
        <w:rPr>
          <w:rFonts w:hint="eastAsia" w:eastAsia="方正黑体_GBK"/>
          <w:kern w:val="0"/>
          <w:sz w:val="32"/>
          <w:szCs w:val="32"/>
        </w:rPr>
        <w:t>附件2</w:t>
      </w:r>
    </w:p>
    <w:p>
      <w:pPr>
        <w:widowControl/>
        <w:spacing w:line="600" w:lineRule="exact"/>
        <w:jc w:val="left"/>
        <w:rPr>
          <w:rFonts w:eastAsia="方正黑体_GBK"/>
          <w:kern w:val="0"/>
          <w:sz w:val="32"/>
          <w:szCs w:val="32"/>
        </w:rPr>
      </w:pPr>
    </w:p>
    <w:p>
      <w:pPr>
        <w:spacing w:line="600" w:lineRule="exact"/>
        <w:jc w:val="center"/>
        <w:rPr>
          <w:rFonts w:eastAsia="方正小标宋_GBK"/>
          <w:sz w:val="44"/>
          <w:szCs w:val="44"/>
        </w:rPr>
      </w:pPr>
      <w:r>
        <w:rPr>
          <w:rFonts w:eastAsia="方正小标宋_GBK"/>
          <w:sz w:val="44"/>
          <w:szCs w:val="44"/>
        </w:rPr>
        <w:t>重庆市考试录用公务员专业参考目录</w:t>
      </w:r>
    </w:p>
    <w:tbl>
      <w:tblPr>
        <w:tblStyle w:val="6"/>
        <w:tblW w:w="12915" w:type="dxa"/>
        <w:jc w:val="center"/>
        <w:tblInd w:w="0" w:type="dxa"/>
        <w:tblLayout w:type="fixed"/>
        <w:tblCellMar>
          <w:top w:w="0" w:type="dxa"/>
          <w:left w:w="108" w:type="dxa"/>
          <w:bottom w:w="0" w:type="dxa"/>
          <w:right w:w="108" w:type="dxa"/>
        </w:tblCellMar>
      </w:tblPr>
      <w:tblGrid>
        <w:gridCol w:w="528"/>
        <w:gridCol w:w="816"/>
        <w:gridCol w:w="816"/>
        <w:gridCol w:w="3560"/>
        <w:gridCol w:w="3945"/>
        <w:gridCol w:w="3250"/>
      </w:tblGrid>
      <w:tr>
        <w:tblPrEx>
          <w:tblLayout w:type="fixed"/>
          <w:tblCellMar>
            <w:top w:w="0" w:type="dxa"/>
            <w:left w:w="108" w:type="dxa"/>
            <w:bottom w:w="0" w:type="dxa"/>
            <w:right w:w="108" w:type="dxa"/>
          </w:tblCellMar>
        </w:tblPrEx>
        <w:trPr>
          <w:trHeight w:val="555" w:hRule="atLeast"/>
          <w:tblHeader/>
          <w:jc w:val="center"/>
        </w:trPr>
        <w:tc>
          <w:tcPr>
            <w:tcW w:w="52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bCs/>
                <w:kern w:val="0"/>
                <w:sz w:val="18"/>
                <w:szCs w:val="18"/>
              </w:rPr>
            </w:pPr>
            <w:r>
              <w:rPr>
                <w:rFonts w:eastAsia="方正仿宋_GBK"/>
                <w:bCs/>
                <w:kern w:val="0"/>
                <w:sz w:val="18"/>
                <w:szCs w:val="18"/>
              </w:rPr>
              <w:t>科别</w:t>
            </w:r>
          </w:p>
        </w:tc>
        <w:tc>
          <w:tcPr>
            <w:tcW w:w="81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bCs/>
                <w:kern w:val="0"/>
                <w:sz w:val="18"/>
                <w:szCs w:val="18"/>
              </w:rPr>
            </w:pPr>
            <w:r>
              <w:rPr>
                <w:rFonts w:eastAsia="方正仿宋_GBK"/>
                <w:bCs/>
                <w:kern w:val="0"/>
                <w:sz w:val="18"/>
                <w:szCs w:val="18"/>
              </w:rPr>
              <w:t>学科</w:t>
            </w:r>
          </w:p>
          <w:p>
            <w:pPr>
              <w:widowControl/>
              <w:spacing w:line="240" w:lineRule="exact"/>
              <w:ind w:left="-105" w:leftChars="-50" w:right="-105" w:rightChars="-50"/>
              <w:jc w:val="center"/>
              <w:rPr>
                <w:rFonts w:eastAsia="方正仿宋_GBK"/>
                <w:bCs/>
                <w:kern w:val="0"/>
                <w:sz w:val="18"/>
                <w:szCs w:val="18"/>
              </w:rPr>
            </w:pPr>
            <w:r>
              <w:rPr>
                <w:rFonts w:eastAsia="方正仿宋_GBK"/>
                <w:bCs/>
                <w:kern w:val="0"/>
                <w:sz w:val="18"/>
                <w:szCs w:val="18"/>
              </w:rPr>
              <w:t>门类</w:t>
            </w:r>
          </w:p>
        </w:tc>
        <w:tc>
          <w:tcPr>
            <w:tcW w:w="81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bCs/>
                <w:kern w:val="0"/>
                <w:sz w:val="18"/>
                <w:szCs w:val="18"/>
              </w:rPr>
            </w:pPr>
            <w:r>
              <w:rPr>
                <w:rFonts w:eastAsia="方正仿宋_GBK"/>
                <w:bCs/>
                <w:kern w:val="0"/>
                <w:sz w:val="18"/>
                <w:szCs w:val="18"/>
              </w:rPr>
              <w:t>专业类</w:t>
            </w:r>
          </w:p>
        </w:tc>
        <w:tc>
          <w:tcPr>
            <w:tcW w:w="10755"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eastAsia="方正仿宋_GBK"/>
                <w:bCs/>
                <w:kern w:val="0"/>
                <w:sz w:val="18"/>
                <w:szCs w:val="18"/>
              </w:rPr>
            </w:pPr>
            <w:r>
              <w:rPr>
                <w:rFonts w:eastAsia="方正仿宋_GBK"/>
                <w:bCs/>
                <w:kern w:val="0"/>
                <w:sz w:val="18"/>
                <w:szCs w:val="18"/>
              </w:rPr>
              <w:t>专业名称</w:t>
            </w:r>
          </w:p>
        </w:tc>
      </w:tr>
      <w:tr>
        <w:tblPrEx>
          <w:tblLayout w:type="fixed"/>
          <w:tblCellMar>
            <w:top w:w="0" w:type="dxa"/>
            <w:left w:w="108" w:type="dxa"/>
            <w:bottom w:w="0" w:type="dxa"/>
            <w:right w:w="108" w:type="dxa"/>
          </w:tblCellMar>
        </w:tblPrEx>
        <w:trPr>
          <w:trHeight w:val="540" w:hRule="atLeast"/>
          <w:tblHeader/>
          <w:jc w:val="center"/>
        </w:trPr>
        <w:tc>
          <w:tcPr>
            <w:tcW w:w="52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bCs/>
                <w:kern w:val="0"/>
                <w:sz w:val="18"/>
                <w:szCs w:val="18"/>
              </w:rPr>
            </w:pPr>
          </w:p>
        </w:tc>
        <w:tc>
          <w:tcPr>
            <w:tcW w:w="8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bCs/>
                <w:kern w:val="0"/>
                <w:sz w:val="18"/>
                <w:szCs w:val="18"/>
              </w:rPr>
            </w:pPr>
          </w:p>
        </w:tc>
        <w:tc>
          <w:tcPr>
            <w:tcW w:w="8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bCs/>
                <w:kern w:val="0"/>
                <w:sz w:val="18"/>
                <w:szCs w:val="18"/>
              </w:rPr>
            </w:pPr>
          </w:p>
        </w:tc>
        <w:tc>
          <w:tcPr>
            <w:tcW w:w="3560" w:type="dxa"/>
            <w:tcBorders>
              <w:top w:val="nil"/>
              <w:left w:val="nil"/>
              <w:bottom w:val="single" w:color="auto" w:sz="4" w:space="0"/>
              <w:right w:val="single" w:color="auto" w:sz="4" w:space="0"/>
            </w:tcBorders>
            <w:vAlign w:val="center"/>
          </w:tcPr>
          <w:p>
            <w:pPr>
              <w:widowControl/>
              <w:spacing w:line="240" w:lineRule="exact"/>
              <w:jc w:val="center"/>
              <w:rPr>
                <w:rFonts w:eastAsia="方正仿宋_GBK"/>
                <w:bCs/>
                <w:kern w:val="0"/>
                <w:sz w:val="18"/>
                <w:szCs w:val="18"/>
              </w:rPr>
            </w:pPr>
            <w:r>
              <w:rPr>
                <w:rFonts w:eastAsia="方正仿宋_GBK"/>
                <w:bCs/>
                <w:kern w:val="0"/>
                <w:sz w:val="18"/>
                <w:szCs w:val="18"/>
              </w:rPr>
              <w:t>研究生专业</w:t>
            </w:r>
          </w:p>
        </w:tc>
        <w:tc>
          <w:tcPr>
            <w:tcW w:w="3945" w:type="dxa"/>
            <w:tcBorders>
              <w:top w:val="nil"/>
              <w:left w:val="nil"/>
              <w:bottom w:val="single" w:color="auto" w:sz="4" w:space="0"/>
              <w:right w:val="single" w:color="auto" w:sz="4" w:space="0"/>
            </w:tcBorders>
            <w:vAlign w:val="center"/>
          </w:tcPr>
          <w:p>
            <w:pPr>
              <w:widowControl/>
              <w:spacing w:line="240" w:lineRule="exact"/>
              <w:jc w:val="center"/>
              <w:rPr>
                <w:rFonts w:eastAsia="方正仿宋_GBK"/>
                <w:bCs/>
                <w:kern w:val="0"/>
                <w:sz w:val="18"/>
                <w:szCs w:val="18"/>
              </w:rPr>
            </w:pPr>
            <w:r>
              <w:rPr>
                <w:rFonts w:eastAsia="方正仿宋_GBK"/>
                <w:bCs/>
                <w:kern w:val="0"/>
                <w:sz w:val="18"/>
                <w:szCs w:val="18"/>
              </w:rPr>
              <w:t>本科专业</w:t>
            </w:r>
          </w:p>
        </w:tc>
        <w:tc>
          <w:tcPr>
            <w:tcW w:w="3250" w:type="dxa"/>
            <w:tcBorders>
              <w:top w:val="nil"/>
              <w:left w:val="nil"/>
              <w:bottom w:val="single" w:color="auto" w:sz="4" w:space="0"/>
              <w:right w:val="single" w:color="auto" w:sz="4" w:space="0"/>
            </w:tcBorders>
            <w:vAlign w:val="center"/>
          </w:tcPr>
          <w:p>
            <w:pPr>
              <w:widowControl/>
              <w:spacing w:line="240" w:lineRule="exact"/>
              <w:jc w:val="center"/>
              <w:rPr>
                <w:rFonts w:eastAsia="方正仿宋_GBK"/>
                <w:bCs/>
                <w:kern w:val="0"/>
                <w:sz w:val="18"/>
                <w:szCs w:val="18"/>
              </w:rPr>
            </w:pPr>
            <w:r>
              <w:rPr>
                <w:rFonts w:eastAsia="方正仿宋_GBK"/>
                <w:bCs/>
                <w:kern w:val="0"/>
                <w:sz w:val="18"/>
                <w:szCs w:val="18"/>
              </w:rPr>
              <w:t>专科专业</w:t>
            </w:r>
          </w:p>
        </w:tc>
      </w:tr>
      <w:tr>
        <w:tblPrEx>
          <w:tblLayout w:type="fixed"/>
          <w:tblCellMar>
            <w:top w:w="0" w:type="dxa"/>
            <w:left w:w="108" w:type="dxa"/>
            <w:bottom w:w="0" w:type="dxa"/>
            <w:right w:w="108" w:type="dxa"/>
          </w:tblCellMar>
        </w:tblPrEx>
        <w:trPr>
          <w:trHeight w:val="2985" w:hRule="atLeast"/>
          <w:jc w:val="center"/>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法学</w:t>
            </w:r>
          </w:p>
        </w:tc>
        <w:tc>
          <w:tcPr>
            <w:tcW w:w="816" w:type="dxa"/>
            <w:tcBorders>
              <w:top w:val="nil"/>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法学类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法学，法律硕士，比较法学，宪法学与行政法学，中国刑法学，国际法，经济刑法学，犯罪学，民法学，刑事诉讼法学，行政诉讼法学，法学理论，法理学，法律史，刑法学，民商法学，民商法，诉讼法学，经济法学，环境与资源保护法学，国际法学，国际公法，国际私法，国际经济法，军事法学，航空法与空间法，国际人权法，国际环境法，国际民事诉讼与仲裁，WTO法律制度，中国司法制度，比较司法制度，比较刑法学，司法制度，法律逻辑，法律逻辑学，知识产权，知识产权法学，民族法学</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法学，知识产权，监狱学，知识产权法，诉讼法，法律，国际法，刑事司法，律师，涉外法律，经济法律事务，法律事务，大法学，经济法学，涉外法律事务，行政法，民商法</w:t>
            </w:r>
          </w:p>
        </w:tc>
        <w:tc>
          <w:tcPr>
            <w:tcW w:w="325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司法助理，法律文秘，司法警务，法律事务，涉外经济法律事务，经济法律事务，律师事务，行政法律事务，法律，书记官，海关国际法律条约与公约，检查事务，经济法，商贸法律，法学，律师</w:t>
            </w:r>
          </w:p>
        </w:tc>
      </w:tr>
      <w:tr>
        <w:tblPrEx>
          <w:tblLayout w:type="fixed"/>
          <w:tblCellMar>
            <w:top w:w="0" w:type="dxa"/>
            <w:left w:w="108" w:type="dxa"/>
            <w:bottom w:w="0" w:type="dxa"/>
            <w:right w:w="108" w:type="dxa"/>
          </w:tblCellMar>
        </w:tblPrEx>
        <w:trPr>
          <w:trHeight w:val="1335"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法学</w:t>
            </w:r>
          </w:p>
        </w:tc>
        <w:tc>
          <w:tcPr>
            <w:tcW w:w="816" w:type="dxa"/>
            <w:tcBorders>
              <w:top w:val="nil"/>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政治</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政治学理论，中外政治制度，科学社会主义与国际共产主义运动，中共党史，国际政治，国际关系，外交学，民族政治学，政治与国际研究</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政治学与行政学，国际政治，国际关系，外交学，国际事务与国际关系，政治学、经济学与哲学，国际政治经济学，国际文化交流，欧洲事务与欧洲关系，东亚事务与东亚关系，国际事务，政治学</w:t>
            </w:r>
          </w:p>
        </w:tc>
        <w:tc>
          <w:tcPr>
            <w:tcW w:w="325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政治学</w:t>
            </w:r>
          </w:p>
        </w:tc>
      </w:tr>
      <w:tr>
        <w:tblPrEx>
          <w:tblLayout w:type="fixed"/>
          <w:tblCellMar>
            <w:top w:w="0" w:type="dxa"/>
            <w:left w:w="108" w:type="dxa"/>
            <w:bottom w:w="0" w:type="dxa"/>
            <w:right w:w="108" w:type="dxa"/>
          </w:tblCellMar>
        </w:tblPrEx>
        <w:trPr>
          <w:trHeight w:val="1695"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法学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社会</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社会学，人口学，人类学，民俗学，社会工作</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社会学，社会工作，社会工作与管理，人类学，女性学，家政学，人口学</w:t>
            </w:r>
          </w:p>
        </w:tc>
        <w:tc>
          <w:tcPr>
            <w:tcW w:w="325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社会工作，社区管理与服务，青少年工作与管理，社会福利事业管理，人民武装，涉外事务管理，妇女工作与管理，体育场馆管理，家政服务，老年服务与管理，社区康复，科技成果中介服务，职业中介服务，现代殡仪技术与管理，戒毒康复</w:t>
            </w:r>
          </w:p>
        </w:tc>
      </w:tr>
      <w:tr>
        <w:tblPrEx>
          <w:tblLayout w:type="fixed"/>
          <w:tblCellMar>
            <w:top w:w="0" w:type="dxa"/>
            <w:left w:w="108" w:type="dxa"/>
            <w:bottom w:w="0" w:type="dxa"/>
            <w:right w:w="108" w:type="dxa"/>
          </w:tblCellMar>
        </w:tblPrEx>
        <w:trPr>
          <w:trHeight w:val="930" w:hRule="atLeast"/>
          <w:jc w:val="center"/>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法学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民族</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民族学，马克思主义民族理论与政策，中国少数民族经济，中国少数民族史，中国少数民族艺术</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民族学，民族理论与民族政策</w:t>
            </w:r>
          </w:p>
        </w:tc>
        <w:tc>
          <w:tcPr>
            <w:tcW w:w="325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1463" w:hRule="atLeast"/>
          <w:jc w:val="center"/>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法学</w:t>
            </w:r>
          </w:p>
        </w:tc>
        <w:tc>
          <w:tcPr>
            <w:tcW w:w="816" w:type="dxa"/>
            <w:tcBorders>
              <w:top w:val="nil"/>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马克思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主义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理论类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马克思主义基本原理，马克思主义发展史，马克思主义中国化研究，马克思主义中国化，国外马克思主义研究，马克思主义理论与思想政治教育，马克思主义理论，思想政治教育，中国近现代史基本问题研究</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科学社会主义，中国共产党党史，中国共产党历史，思想政治教育，科学社会主义与国际共产主义运动，中国革命史与中国共产党党史</w:t>
            </w:r>
          </w:p>
        </w:tc>
        <w:tc>
          <w:tcPr>
            <w:tcW w:w="325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思想政治教育，政治和思想品德教育</w:t>
            </w:r>
          </w:p>
        </w:tc>
      </w:tr>
      <w:tr>
        <w:tblPrEx>
          <w:tblLayout w:type="fixed"/>
          <w:tblCellMar>
            <w:top w:w="0" w:type="dxa"/>
            <w:left w:w="108" w:type="dxa"/>
            <w:bottom w:w="0" w:type="dxa"/>
            <w:right w:w="108" w:type="dxa"/>
          </w:tblCellMar>
        </w:tblPrEx>
        <w:trPr>
          <w:trHeight w:val="2745"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法学</w:t>
            </w:r>
          </w:p>
        </w:tc>
        <w:tc>
          <w:tcPr>
            <w:tcW w:w="816" w:type="dxa"/>
            <w:tcBorders>
              <w:top w:val="nil"/>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公安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公安学，犯罪社会学，中国化的马克思主义与公安工作，公安思想政治教育工作，警察心理学，警察体能与警务实战技能训练，警务战术训练，公安管理学，公安情报学，警察科学，侦查学，治安学，警务硕士专业</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治安学，侦查学，边防管理，禁毒学，警犬技术，经济犯罪侦查，边防指挥，消防指挥，警卫学，公安情报学，犯罪学，公安管理学，犯罪心理学，涉外警务，侦察学，刑事侦查，刑事侦察，技术侦查，经济侦查，警务指挥与战术，边防信息网络安全监察，公安信息技术，边防公安，出入境管理，消防管理，消防管理指挥，公安保卫，公安安全保卫，安全保卫，国内安全保卫，公安学，公安管理，警察管理，预审，治安管理，公安文秘，警卫，网络监察</w:t>
            </w:r>
          </w:p>
        </w:tc>
        <w:tc>
          <w:tcPr>
            <w:tcW w:w="325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侦查，经济犯罪侦查，安全保卫，公共安全管理，警卫，治安管理，交通管理，警察管理，信息网络与安全监察，信息网络安全监察，网络监察，边防检查，警察指挥与战术，边防指挥，边防船艇指挥，边防通信指挥，消防指挥，参谋业务，抢险救援，边境管理，禁毒，防火管理，森林消防</w:t>
            </w:r>
          </w:p>
        </w:tc>
      </w:tr>
      <w:tr>
        <w:tblPrEx>
          <w:tblLayout w:type="fixed"/>
          <w:tblCellMar>
            <w:top w:w="0" w:type="dxa"/>
            <w:left w:w="108" w:type="dxa"/>
            <w:bottom w:w="0" w:type="dxa"/>
            <w:right w:w="108" w:type="dxa"/>
          </w:tblCellMar>
        </w:tblPrEx>
        <w:trPr>
          <w:trHeight w:val="1635"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法学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司法</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执行及</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技术类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物证技术学</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狱政管理，刑事执行，劳教管理，罪犯教育，罪犯心理矫治，监所管理</w:t>
            </w:r>
          </w:p>
        </w:tc>
        <w:tc>
          <w:tcPr>
            <w:tcW w:w="325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狱政管理，刑事执行，民事执行，行政执行，监狱管理，劳动改造学，劳教管理，司法鉴定，司法鉴定技术，安全防范技术，司法信息技术，司法信息安全，应用法制心理技术，罪犯心理测量与矫正技术，司法会计，毒品犯罪矫治，涉毒人员矫治，监所管理，刑事侦查技术，司法侦查</w:t>
            </w:r>
          </w:p>
        </w:tc>
      </w:tr>
      <w:tr>
        <w:tblPrEx>
          <w:tblLayout w:type="fixed"/>
          <w:tblCellMar>
            <w:top w:w="0" w:type="dxa"/>
            <w:left w:w="108" w:type="dxa"/>
            <w:bottom w:w="0" w:type="dxa"/>
            <w:right w:w="108" w:type="dxa"/>
          </w:tblCellMar>
        </w:tblPrEx>
        <w:trPr>
          <w:trHeight w:val="2325"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文学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中国</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语言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文学类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文艺学，语言学及应用语言学，汉语言文字学，中国古典文献学，中国古代文学，中国现当代文学，中国少数民族语言文学，文学阅读与文学教育，比较文学与世界文学，经济秘书，广播影视文艺学</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汉语言文学，汉语言，汉语国际教育，对外汉语，中国少数民族语言文学，藏语言文学，蒙古语言文学，维吾尔语言文学，朝鲜语言文学，哈萨克语言文学，语言学，编辑学，汉语言文学教育，少数民族语言文学教育，古典文献学，中国语言文化，中国语言文学，中文应用，应用语言学，古典文献，文学，中国文学，汉语言文学与文化传播，秘书学，文秘，文秘学，中文秘书教育，现代秘书，经济秘书，中国学，医学文秘，涉外秘书</w:t>
            </w:r>
          </w:p>
        </w:tc>
        <w:tc>
          <w:tcPr>
            <w:tcW w:w="325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汉语，文秘，涉外文秘，秘书学，文物鉴定与修复，文化事业管理，文化市场经营与管理，中国少数民族语言文化，文秘档案，中文，汉语言文学，经贸文秘，经济秘书，现代文员，医学文秘，公共关系与文秘，公关文秘，汉语言文学教育，现代文秘与公共关系</w:t>
            </w:r>
          </w:p>
        </w:tc>
      </w:tr>
      <w:tr>
        <w:tblPrEx>
          <w:tblLayout w:type="fixed"/>
          <w:tblCellMar>
            <w:top w:w="0" w:type="dxa"/>
            <w:left w:w="108" w:type="dxa"/>
            <w:bottom w:w="0" w:type="dxa"/>
            <w:right w:w="108" w:type="dxa"/>
          </w:tblCellMar>
        </w:tblPrEx>
        <w:trPr>
          <w:trHeight w:val="3480"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文学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外国</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语言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文学类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英语语言文学，俄语语言文学，法语语言文学，德语语言文学，日语语言文学，印度语言文学，西班牙语语言文学，阿拉伯语语言文学，欧洲语言文学，亚非语言文学，外国语言学及应用语言学，翻译硕士专业（英语笔译、英语口译、俄语笔译、俄语口译、日语笔译、日语口译、法语笔译、法语口译、德语笔译、德语口译、朝鲜语口译、朝鲜语笔译）</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英语，生物医学英语，英语语言文学，俄语，德语，法语，应用法语，西班牙语，阿拉伯语，日语，应用日语，波斯语，朝鲜语，菲律宾语，梵语巴利语，印度尼西亚语，印地语，柬埔寨语，老挝语，缅甸语，马来语，蒙古语，僧伽罗语，僧加罗语，泰语，乌尔都语，希伯莱语，希伯来语，越南语，豪萨语，斯瓦希里语，阿尔巴尼亚语，保加利亚语，波兰语，捷克语，罗马尼亚语，葡萄牙语，瑞典语，塞尔维亚语，塞尔维亚—克罗地亚语，土耳其语，希腊语，匈牙利语，意大利语，捷克－斯洛伐克语，泰米尔语，普什图语，世界语，孟加拉语，尼泊尔语，塞尔维亚语—克罗地亚语，克罗地亚语，爱尔兰语，荷兰语，芬兰语，乌克兰语，韩国语，挪威语，丹麦语，立陶宛语，爱沙尼亚语，马耳他语，冰岛语，翻译，国际经济与贸易英语，商贸英语，商务英语，应用英语，英语翻译，英汉笔译</w:t>
            </w:r>
          </w:p>
        </w:tc>
        <w:tc>
          <w:tcPr>
            <w:tcW w:w="325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英语，应用英语，实用英语，应用日语，应用俄语，应用德语，应用法语，应用韩语，商务英语，外贸英语，旅游英语，商务日语，旅游日语，应用西班牙语，应用阿拉伯语，应用意大利语，应用越南语，应用泰国语，应用缅甸语，应用柬埔寨语，应用老挝语</w:t>
            </w:r>
          </w:p>
        </w:tc>
      </w:tr>
      <w:tr>
        <w:tblPrEx>
          <w:tblLayout w:type="fixed"/>
          <w:tblCellMar>
            <w:top w:w="0" w:type="dxa"/>
            <w:left w:w="108" w:type="dxa"/>
            <w:bottom w:w="0" w:type="dxa"/>
            <w:right w:w="108" w:type="dxa"/>
          </w:tblCellMar>
        </w:tblPrEx>
        <w:trPr>
          <w:trHeight w:val="1770"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文学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新闻</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传播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新闻学，传播学，新闻与传播，出版，出版研究，编辑出版学，媒体与文化分析专业，国际新闻</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新闻学，广播电视新闻学，编辑出版学，传播学，媒体创意，国际新闻，体育新闻，新闻，广告学，广播电视学，网络与新媒体，数字出版，新媒体与信息网络</w:t>
            </w:r>
          </w:p>
        </w:tc>
        <w:tc>
          <w:tcPr>
            <w:tcW w:w="325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广播电视技术，摄影摄像技术，影像工程，音像技术，影视多媒体技术，影视动画，影视广告，新闻采编与制作，电视节目制作，电视制片管理，新闻与传播，新闻学与大众传播，信息传播与策划，传媒策划与管理，影视灯光艺术，数字传媒艺术，电视摄像，作曲技术，剪辑，录音技术与艺术，新闻，新闻学，新闻与文秘</w:t>
            </w:r>
          </w:p>
        </w:tc>
      </w:tr>
      <w:tr>
        <w:tblPrEx>
          <w:tblLayout w:type="fixed"/>
          <w:tblCellMar>
            <w:top w:w="0" w:type="dxa"/>
            <w:left w:w="108" w:type="dxa"/>
            <w:bottom w:w="0" w:type="dxa"/>
            <w:right w:w="108" w:type="dxa"/>
          </w:tblCellMar>
        </w:tblPrEx>
        <w:trPr>
          <w:trHeight w:val="1500"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（八十一）管理科学</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与工程类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管理科学与工程，项目管理等工程硕士专业，营运与供应链管理，工程管理硕士专业</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管理科学，信息管理与信息系统，工程管理，工程造价，工程造价管理，房地产经营管理，产品质量工程，项目管理，管理科学工程，管理科学与工程,房地产开发与管理,保密管理,控制科学与工程，信息管理工程</w:t>
            </w:r>
          </w:p>
        </w:tc>
        <w:tc>
          <w:tcPr>
            <w:tcW w:w="325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工程造价管理，房地产经营与估价，工程造价，项目管理</w:t>
            </w:r>
          </w:p>
        </w:tc>
      </w:tr>
      <w:tr>
        <w:tblPrEx>
          <w:tblLayout w:type="fixed"/>
          <w:tblCellMar>
            <w:top w:w="0" w:type="dxa"/>
            <w:left w:w="108" w:type="dxa"/>
            <w:bottom w:w="0" w:type="dxa"/>
            <w:right w:w="108" w:type="dxa"/>
          </w:tblCellMar>
        </w:tblPrEx>
        <w:trPr>
          <w:trHeight w:val="2445" w:hRule="atLeast"/>
          <w:jc w:val="center"/>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工商</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会计学，企业管理，技术经济及管理，人力资源管理，审计理论研究，政府审计理论与实务，国际商务，内部控制与内部审计，独立审计与实务，审计学，财务管理，市场营销管理，管理与金融，工商管理硕士专业，会计硕士专业，管理硕士专业，管理专业硕士</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工商管理，经营学，市场营销，财务管理，人力资源管理，商品学，审计，审计学，特许经营管理，连锁经营管理，资产评估，企业管理，</w:t>
            </w:r>
            <w:r>
              <w:rPr>
                <w:rFonts w:eastAsia="方正仿宋_GBK"/>
                <w:bCs/>
                <w:kern w:val="0"/>
                <w:sz w:val="18"/>
                <w:szCs w:val="18"/>
              </w:rPr>
              <w:t>企业经济管理，</w:t>
            </w:r>
            <w:r>
              <w:rPr>
                <w:rFonts w:eastAsia="方正仿宋_GBK"/>
                <w:kern w:val="0"/>
                <w:sz w:val="18"/>
                <w:szCs w:val="18"/>
              </w:rPr>
              <w:t>国际企业管理，商业经济管理，工商企业管理，工商行政管理，会计，会计学，审计实务，财务会计，税务与会计，财务会计教育，国际会计，会计电算化，财务电算化，会计与统计核算，财务信息管理，工业会计，企业会计，理财学，企业财务管理，财会，物业管理，食品经济管理，市场营销教育，经济与行政管理，会计信息化，商务策划管理，商务管理，国际商务，文化产业管理，体育经济与管理，体育经济，资源经济与管理，工程财务管理</w:t>
            </w:r>
          </w:p>
        </w:tc>
        <w:tc>
          <w:tcPr>
            <w:tcW w:w="325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工商企业管理，企业管理，工商行政管理，人力资源管理，工商管理，商务管理，连锁经营管理，企业资源计划管理，招商管理，采购供应管理，市场营销，国际市场营销，家具与市场营销，市场开发与营销，营销与策划，医药营销，商业企业管理，商业经济管理，财务管理，财务信息管理，会计，会计学，会计电算化，财会与计算机应用，现代管理及会计，会计与统计核算，会计与审计，审计实务，电算会计，金融会计与审计，企业财务管理，财会，财务会计，审计，财务审计与税务管理，涉外会计，国际商务，物业管理，物业设施管理，药品经营与管理</w:t>
            </w:r>
          </w:p>
        </w:tc>
      </w:tr>
      <w:tr>
        <w:tblPrEx>
          <w:tblLayout w:type="fixed"/>
          <w:tblCellMar>
            <w:top w:w="0" w:type="dxa"/>
            <w:left w:w="108" w:type="dxa"/>
            <w:bottom w:w="0" w:type="dxa"/>
            <w:right w:w="108" w:type="dxa"/>
          </w:tblCellMar>
        </w:tblPrEx>
        <w:trPr>
          <w:trHeight w:val="1185"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nil"/>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农业</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经济</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农业经济管理，林业经济管理，农业推广硕士专业（农村与区域发展）</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农林经济管理，农村区域发展，农业经营管理教育</w:t>
            </w:r>
          </w:p>
        </w:tc>
        <w:tc>
          <w:tcPr>
            <w:tcW w:w="325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农业经济管理，农村行政管理，乡镇企业管理，林业经济信息管理，渔业资源与渔政管理，农业技术与管理，林业信息工程与管理，都市林业资源与林政管理，农村行政与经济管理</w:t>
            </w:r>
          </w:p>
        </w:tc>
      </w:tr>
      <w:tr>
        <w:tblPrEx>
          <w:tblLayout w:type="fixed"/>
          <w:tblCellMar>
            <w:top w:w="0" w:type="dxa"/>
            <w:left w:w="108" w:type="dxa"/>
            <w:bottom w:w="0" w:type="dxa"/>
            <w:right w:w="108" w:type="dxa"/>
          </w:tblCellMar>
        </w:tblPrEx>
        <w:trPr>
          <w:trHeight w:val="2190"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公共</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行政管理，社会医学与卫生事业管理，教育经济与管理，劳动与社会保障，社会保障，土地资源管理，土地管理，公共政策学，社会保障学，管理学，公共管理硕士专业</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行政管理，行政管理学，公共事业管理，劳动与社会保障，劳动和社会保障，土地资源管理，公共关系学，公共关系，高等教育管理，公共政策学，城市管理，公共管理，国防教育与管理，航运管理，劳动关系，公共安全管理，体育产业管理，教育管理，土地管理，土地管理教育，土地资源管理教育，应急管理，职业技术教育管理，海关管理，海事管理，信息与技术经济管理，交通管理，卫生信息管理，公共卫生管理，医院管理，卫生管理</w:t>
            </w:r>
          </w:p>
        </w:tc>
        <w:tc>
          <w:tcPr>
            <w:tcW w:w="325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公共事务管理，民政管理，行政管理，劳动与社会保障，国土资源管理，海关管理，环境规划与管理，社会救助，国际质量管理体系认证，市政管理，乡镇管理，机关管理及办公自动化，土地管理，城市管理与监察，公共关系，卫生信息管理，卫生事业管理，公共卫生管理，教育管理</w:t>
            </w:r>
          </w:p>
        </w:tc>
      </w:tr>
      <w:tr>
        <w:tblPrEx>
          <w:tblLayout w:type="fixed"/>
          <w:tblCellMar>
            <w:top w:w="0" w:type="dxa"/>
            <w:left w:w="108" w:type="dxa"/>
            <w:bottom w:w="0" w:type="dxa"/>
            <w:right w:w="108" w:type="dxa"/>
          </w:tblCellMar>
        </w:tblPrEx>
        <w:trPr>
          <w:trHeight w:val="720" w:hRule="atLeast"/>
          <w:jc w:val="center"/>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图书情报</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与档案</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图书馆学，情报学，档案学，图书情报硕士专业</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图书馆学，档案学，信息资源管理，科技档案，图书发行出版学，档案</w:t>
            </w:r>
          </w:p>
        </w:tc>
        <w:tc>
          <w:tcPr>
            <w:tcW w:w="325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图书档案管理，档案管理学，档案学</w:t>
            </w:r>
          </w:p>
        </w:tc>
      </w:tr>
      <w:tr>
        <w:tblPrEx>
          <w:tblLayout w:type="fixed"/>
          <w:tblCellMar>
            <w:top w:w="0" w:type="dxa"/>
            <w:left w:w="108" w:type="dxa"/>
            <w:bottom w:w="0" w:type="dxa"/>
            <w:right w:w="108" w:type="dxa"/>
          </w:tblCellMar>
        </w:tblPrEx>
        <w:trPr>
          <w:trHeight w:val="720" w:hRule="atLeast"/>
          <w:jc w:val="center"/>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nil"/>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物流管理</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与工程类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物流工程等工程硕士专业</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物流管理，物流工程，采购管理</w:t>
            </w:r>
          </w:p>
        </w:tc>
        <w:tc>
          <w:tcPr>
            <w:tcW w:w="325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物流管理，国际物流，现代物流管理，物流信息，物流工程技术</w:t>
            </w:r>
          </w:p>
        </w:tc>
      </w:tr>
      <w:tr>
        <w:tblPrEx>
          <w:tblLayout w:type="fixed"/>
          <w:tblCellMar>
            <w:top w:w="0" w:type="dxa"/>
            <w:left w:w="108" w:type="dxa"/>
            <w:bottom w:w="0" w:type="dxa"/>
            <w:right w:w="108" w:type="dxa"/>
          </w:tblCellMar>
        </w:tblPrEx>
        <w:trPr>
          <w:trHeight w:val="1361"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nil"/>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工业</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工程类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工业工程，工业设计工程等工程硕士专业</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工业工程，标准化工程，质量管理工程，总图设计与工业运输，产品质量工程</w:t>
            </w:r>
          </w:p>
        </w:tc>
        <w:tc>
          <w:tcPr>
            <w:tcW w:w="325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2265"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电子</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商务类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电子商务，电子商务及法律</w:t>
            </w:r>
          </w:p>
        </w:tc>
        <w:tc>
          <w:tcPr>
            <w:tcW w:w="325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电子商务，广告经营与管理</w:t>
            </w:r>
          </w:p>
        </w:tc>
      </w:tr>
      <w:tr>
        <w:tblPrEx>
          <w:tblLayout w:type="fixed"/>
          <w:tblCellMar>
            <w:top w:w="0" w:type="dxa"/>
            <w:left w:w="108" w:type="dxa"/>
            <w:bottom w:w="0" w:type="dxa"/>
            <w:right w:w="108" w:type="dxa"/>
          </w:tblCellMar>
        </w:tblPrEx>
        <w:trPr>
          <w:trHeight w:val="2265" w:hRule="atLeast"/>
          <w:jc w:val="center"/>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旅游</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旅游管理，旅游管理硕士专业</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旅游管理，旅游管理与服务教育，酒店管理，会展经济与管理</w:t>
            </w:r>
          </w:p>
        </w:tc>
        <w:tc>
          <w:tcPr>
            <w:tcW w:w="3250" w:type="dxa"/>
            <w:tcBorders>
              <w:top w:val="single" w:color="auto" w:sz="4" w:space="0"/>
              <w:left w:val="nil"/>
              <w:bottom w:val="single" w:color="auto" w:sz="4" w:space="0"/>
              <w:right w:val="single" w:color="auto" w:sz="4" w:space="0"/>
            </w:tcBorders>
            <w:vAlign w:val="center"/>
          </w:tcPr>
          <w:p>
            <w:pPr>
              <w:widowControl/>
              <w:spacing w:line="200" w:lineRule="exact"/>
              <w:rPr>
                <w:rFonts w:eastAsia="方正仿宋_GBK"/>
                <w:kern w:val="0"/>
                <w:sz w:val="18"/>
                <w:szCs w:val="18"/>
              </w:rPr>
            </w:pPr>
            <w:r>
              <w:rPr>
                <w:rFonts w:eastAsia="方正仿宋_GBK"/>
                <w:kern w:val="0"/>
                <w:sz w:val="18"/>
                <w:szCs w:val="18"/>
              </w:rPr>
              <w:t>旅游管理，涉外旅游，导游，旅行社经营管理，景区开发与管理，酒店管理，宾馆管理，餐饮管理与服务，烹饪工艺与营养，餐饮管理，导游服务，旅游与酒店管理，会展策划与管理，历史文化旅游，旅游服务与管理，休闲服务与管理，现代酒店管理，饭店管理,旅游乡村经济，旅游饭店管理，旅游规划策划，旅游景区管理，旅游市场营销，旅游项目投融资管理，旅游温泉经济，游艇游轮经济，旅游自驾车经济，生态旅游与管理</w:t>
            </w:r>
          </w:p>
        </w:tc>
      </w:tr>
      <w:tr>
        <w:tblPrEx>
          <w:tblLayout w:type="fixed"/>
          <w:tblCellMar>
            <w:top w:w="0" w:type="dxa"/>
            <w:left w:w="108" w:type="dxa"/>
            <w:bottom w:w="0" w:type="dxa"/>
            <w:right w:w="108" w:type="dxa"/>
          </w:tblCellMar>
        </w:tblPrEx>
        <w:trPr>
          <w:trHeight w:val="605" w:hRule="atLeast"/>
          <w:jc w:val="center"/>
        </w:trPr>
        <w:tc>
          <w:tcPr>
            <w:tcW w:w="12915"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bCs/>
                <w:kern w:val="0"/>
                <w:sz w:val="18"/>
                <w:szCs w:val="18"/>
              </w:rPr>
              <w:t>备注：本专业参考目录未列入的各类新专业符合教育行政主管部门相关规定的，经招录机关（单位）审核同意后予以认可。</w:t>
            </w:r>
          </w:p>
        </w:tc>
      </w:tr>
    </w:tbl>
    <w:p>
      <w:pPr>
        <w:widowControl/>
        <w:spacing w:line="600" w:lineRule="exact"/>
        <w:jc w:val="left"/>
        <w:rPr>
          <w:rFonts w:eastAsia="方正黑体_GBK"/>
          <w:kern w:val="0"/>
          <w:sz w:val="32"/>
          <w:szCs w:val="32"/>
        </w:rPr>
      </w:pPr>
    </w:p>
    <w:p>
      <w:pPr>
        <w:widowControl/>
        <w:spacing w:line="600" w:lineRule="exact"/>
        <w:jc w:val="left"/>
        <w:rPr>
          <w:rFonts w:eastAsia="方正黑体_GBK"/>
          <w:kern w:val="0"/>
          <w:sz w:val="32"/>
          <w:szCs w:val="32"/>
        </w:rPr>
      </w:pPr>
    </w:p>
    <w:p>
      <w:pPr>
        <w:widowControl/>
        <w:spacing w:line="600" w:lineRule="exact"/>
        <w:jc w:val="left"/>
        <w:rPr>
          <w:rFonts w:eastAsia="方正黑体_GBK"/>
          <w:kern w:val="0"/>
          <w:sz w:val="32"/>
          <w:szCs w:val="32"/>
        </w:rPr>
      </w:pPr>
    </w:p>
    <w:p>
      <w:pPr>
        <w:widowControl/>
        <w:spacing w:line="600" w:lineRule="exact"/>
        <w:jc w:val="left"/>
        <w:rPr>
          <w:rFonts w:eastAsia="方正黑体_GBK"/>
          <w:kern w:val="0"/>
          <w:sz w:val="32"/>
          <w:szCs w:val="32"/>
        </w:rPr>
        <w:sectPr>
          <w:headerReference r:id="rId3" w:type="default"/>
          <w:footerReference r:id="rId5" w:type="default"/>
          <w:headerReference r:id="rId4" w:type="even"/>
          <w:footerReference r:id="rId6" w:type="even"/>
          <w:pgSz w:w="16838" w:h="11906" w:orient="landscape"/>
          <w:pgMar w:top="1587" w:right="2098" w:bottom="1474" w:left="1984" w:header="851" w:footer="992" w:gutter="0"/>
          <w:cols w:space="720" w:num="1"/>
          <w:docGrid w:type="linesAndChars" w:linePitch="312" w:charSpace="0"/>
        </w:sectPr>
      </w:pPr>
    </w:p>
    <w:p>
      <w:pPr>
        <w:widowControl/>
        <w:spacing w:line="600" w:lineRule="exact"/>
        <w:jc w:val="left"/>
        <w:rPr>
          <w:rFonts w:eastAsia="方正黑体_GBK"/>
          <w:kern w:val="0"/>
          <w:sz w:val="32"/>
          <w:szCs w:val="32"/>
        </w:rPr>
      </w:pPr>
      <w:bookmarkStart w:id="0" w:name="_GoBack"/>
      <w:bookmarkEnd w:id="0"/>
    </w:p>
    <w:sectPr>
      <w:pgSz w:w="11906" w:h="16838"/>
      <w:pgMar w:top="2098" w:right="1474" w:bottom="1984" w:left="1587" w:header="851" w:footer="992" w:gutter="0"/>
      <w:cols w:space="0" w:num="1"/>
      <w:docGrid w:type="linesAndChars" w:linePitch="312" w:charSpace="12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panose1 w:val="03000509000000000000"/>
    <w:charset w:val="86"/>
    <w:family w:val="swiss"/>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pict>
        <v:shape id="_x0000_s2049" o:spid="_x0000_s2049" o:spt="202" type="#_x0000_t202" style="position:absolute;left:0pt;margin-left:270.95pt;margin-top:-26.65pt;height:48.5pt;width:172pt;mso-position-horizontal-relative:margin;z-index:251658240;mso-width-relative:page;mso-height-relative:page;" filled="f" stroked="f" coordsize="21600,21600">
          <v:path/>
          <v:fill on="f" focussize="0,0"/>
          <v:stroke on="f" joinstyle="miter"/>
          <v:imagedata o:title=""/>
          <o:lock v:ext="edit"/>
          <v:textbox inset="0mm,0mm,0mm,0mm">
            <w:txbxContent>
              <w:p>
                <w:pPr>
                  <w:pStyle w:val="3"/>
                  <w:jc w:val="right"/>
                  <w:rPr>
                    <w:rFonts w:ascii="Times New Roman" w:hAnsi="Times New Roman" w:cs="Times New Roman"/>
                    <w:sz w:val="30"/>
                    <w:szCs w:val="30"/>
                  </w:rPr>
                </w:pPr>
                <w:r>
                  <w:rPr>
                    <w:rFonts w:ascii="Times New Roman" w:hAnsi="Times New Roman" w:cs="Times New Roman"/>
                    <w:sz w:val="30"/>
                    <w:szCs w:val="30"/>
                    <w:lang w:val="zh-CN"/>
                  </w:rPr>
                  <w:t>—</w:t>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   \* MERGEFORMAT </w:instrText>
                </w:r>
                <w:r>
                  <w:rPr>
                    <w:rFonts w:ascii="Times New Roman" w:hAnsi="Times New Roman" w:cs="Times New Roman"/>
                    <w:sz w:val="30"/>
                    <w:szCs w:val="30"/>
                  </w:rPr>
                  <w:fldChar w:fldCharType="separate"/>
                </w:r>
                <w:r>
                  <w:rPr>
                    <w:rFonts w:ascii="Times New Roman" w:hAnsi="Times New Roman" w:cs="Times New Roman"/>
                    <w:sz w:val="30"/>
                    <w:szCs w:val="30"/>
                    <w:lang w:val="zh-CN"/>
                  </w:rPr>
                  <w:t>7</w:t>
                </w:r>
                <w:r>
                  <w:rPr>
                    <w:rFonts w:ascii="Times New Roman" w:hAnsi="Times New Roman" w:cs="Times New Roman"/>
                    <w:sz w:val="30"/>
                    <w:szCs w:val="30"/>
                    <w:lang w:val="zh-CN"/>
                  </w:rPr>
                  <w:fldChar w:fldCharType="end"/>
                </w:r>
                <w:r>
                  <w:rPr>
                    <w:rFonts w:ascii="Times New Roman" w:hAnsi="Times New Roman" w:cs="Times New Roman"/>
                    <w:sz w:val="30"/>
                    <w:szCs w:val="30"/>
                    <w:lang w:val="zh-CN"/>
                  </w:rPr>
                  <w:t>—</w:t>
                </w:r>
              </w:p>
            </w:txbxContent>
          </v:textbox>
        </v:shape>
      </w:pict>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2050" o:spid="_x0000_s2050" o:spt="202" type="#_x0000_t202" style="position:absolute;left:0pt;margin-left:0.55pt;margin-top:-38.35pt;height:49.35pt;width:222.85pt;mso-position-horizontal-relative:margin;z-index:251659264;mso-width-relative:page;mso-height-relative:page;" filled="f" stroked="f" coordsize="21600,21600">
          <v:path/>
          <v:fill on="f" focussize="0,0"/>
          <v:stroke on="f" joinstyle="miter"/>
          <v:imagedata o:title=""/>
          <o:lock v:ext="edit"/>
          <v:textbox inset="0mm,0mm,0mm,0mm">
            <w:txbxContent>
              <w:p>
                <w:pPr>
                  <w:pStyle w:val="3"/>
                  <w:rPr>
                    <w:rFonts w:ascii="Times New Roman" w:hAnsi="Times New Roman" w:eastAsia="宋体" w:cs="Times New Roman"/>
                    <w:sz w:val="30"/>
                    <w:szCs w:val="30"/>
                  </w:rPr>
                </w:pPr>
                <w:r>
                  <w:rPr>
                    <w:rFonts w:ascii="Times New Roman" w:hAnsi="Times New Roman" w:cs="Times New Roman"/>
                    <w:sz w:val="30"/>
                    <w:szCs w:val="30"/>
                  </w:rPr>
                  <w:t>—</w:t>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  \* MERGEFORMAT </w:instrText>
                </w:r>
                <w:r>
                  <w:rPr>
                    <w:rFonts w:ascii="Times New Roman" w:hAnsi="Times New Roman" w:cs="Times New Roman"/>
                    <w:sz w:val="30"/>
                    <w:szCs w:val="30"/>
                  </w:rPr>
                  <w:fldChar w:fldCharType="separate"/>
                </w:r>
                <w:r>
                  <w:rPr>
                    <w:rFonts w:ascii="Times New Roman" w:hAnsi="Times New Roman" w:cs="Times New Roman"/>
                    <w:sz w:val="30"/>
                    <w:szCs w:val="30"/>
                  </w:rPr>
                  <w:t>8</w:t>
                </w:r>
                <w:r>
                  <w:rPr>
                    <w:rFonts w:ascii="Times New Roman" w:hAnsi="Times New Roman" w:cs="Times New Roman"/>
                    <w:sz w:val="30"/>
                    <w:szCs w:val="30"/>
                  </w:rPr>
                  <w:fldChar w:fldCharType="end"/>
                </w:r>
                <w:r>
                  <w:rPr>
                    <w:rFonts w:ascii="Times New Roman" w:hAnsi="Times New Roman" w:cs="Times New Roman"/>
                    <w:sz w:val="30"/>
                    <w:szCs w:val="30"/>
                  </w:rPr>
                  <w:t>—</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tabs>
        <w:tab w:val="left" w:pos="2847"/>
        <w:tab w:val="clear" w:pos="4153"/>
      </w:tabs>
      <w:wordWrap w:val="0"/>
      <w:ind w:right="360"/>
      <w:jc w:val="both"/>
    </w:pPr>
    <w:r>
      <w:rPr>
        <w:rFonts w:hint="eastAsia"/>
      </w:rPr>
      <w:t xml:space="preserve">                    </w:t>
    </w:r>
    <w:r>
      <w:rPr>
        <w:rFonts w:hint="eastAsia"/>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evenAndOddHeaders w:val="1"/>
  <w:drawingGridHorizontalSpacing w:val="105"/>
  <w:drawingGridVerticalSpacing w:val="158"/>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93019"/>
    <w:rsid w:val="00000269"/>
    <w:rsid w:val="000049F6"/>
    <w:rsid w:val="00005ADE"/>
    <w:rsid w:val="00006B98"/>
    <w:rsid w:val="0001102B"/>
    <w:rsid w:val="000111F2"/>
    <w:rsid w:val="000128DF"/>
    <w:rsid w:val="0001304A"/>
    <w:rsid w:val="000147CA"/>
    <w:rsid w:val="00015640"/>
    <w:rsid w:val="00017D02"/>
    <w:rsid w:val="00020B05"/>
    <w:rsid w:val="0002104F"/>
    <w:rsid w:val="00026E8F"/>
    <w:rsid w:val="000309A0"/>
    <w:rsid w:val="000321AA"/>
    <w:rsid w:val="00033EA7"/>
    <w:rsid w:val="00036487"/>
    <w:rsid w:val="000369E4"/>
    <w:rsid w:val="000374D3"/>
    <w:rsid w:val="0003784F"/>
    <w:rsid w:val="00040786"/>
    <w:rsid w:val="00040B89"/>
    <w:rsid w:val="00041176"/>
    <w:rsid w:val="00041477"/>
    <w:rsid w:val="0004555F"/>
    <w:rsid w:val="00050DEF"/>
    <w:rsid w:val="000528EE"/>
    <w:rsid w:val="00053B67"/>
    <w:rsid w:val="00066B6E"/>
    <w:rsid w:val="0007223C"/>
    <w:rsid w:val="00072821"/>
    <w:rsid w:val="00072B2A"/>
    <w:rsid w:val="00073583"/>
    <w:rsid w:val="00074330"/>
    <w:rsid w:val="00076999"/>
    <w:rsid w:val="00080D7F"/>
    <w:rsid w:val="00080F75"/>
    <w:rsid w:val="00083570"/>
    <w:rsid w:val="00083628"/>
    <w:rsid w:val="00083C7C"/>
    <w:rsid w:val="000860E9"/>
    <w:rsid w:val="0009409E"/>
    <w:rsid w:val="000957FC"/>
    <w:rsid w:val="00096055"/>
    <w:rsid w:val="00096BA8"/>
    <w:rsid w:val="000A0CC6"/>
    <w:rsid w:val="000A15E3"/>
    <w:rsid w:val="000A1E65"/>
    <w:rsid w:val="000A3921"/>
    <w:rsid w:val="000A4666"/>
    <w:rsid w:val="000B06D6"/>
    <w:rsid w:val="000B55AB"/>
    <w:rsid w:val="000B6EB7"/>
    <w:rsid w:val="000C07DD"/>
    <w:rsid w:val="000C0B3A"/>
    <w:rsid w:val="000C1F9A"/>
    <w:rsid w:val="000C2141"/>
    <w:rsid w:val="000C2CD8"/>
    <w:rsid w:val="000C404E"/>
    <w:rsid w:val="000C4096"/>
    <w:rsid w:val="000C4A62"/>
    <w:rsid w:val="000C7EDE"/>
    <w:rsid w:val="000D1143"/>
    <w:rsid w:val="000D32B8"/>
    <w:rsid w:val="000D3733"/>
    <w:rsid w:val="000E25DD"/>
    <w:rsid w:val="000E5864"/>
    <w:rsid w:val="000E70AF"/>
    <w:rsid w:val="000E72A0"/>
    <w:rsid w:val="000F1B50"/>
    <w:rsid w:val="000F21DF"/>
    <w:rsid w:val="000F36F6"/>
    <w:rsid w:val="000F4643"/>
    <w:rsid w:val="000F6294"/>
    <w:rsid w:val="001007F7"/>
    <w:rsid w:val="00100A04"/>
    <w:rsid w:val="001025A4"/>
    <w:rsid w:val="00102782"/>
    <w:rsid w:val="00105606"/>
    <w:rsid w:val="0011556B"/>
    <w:rsid w:val="00115A38"/>
    <w:rsid w:val="00117ACB"/>
    <w:rsid w:val="00121A6D"/>
    <w:rsid w:val="00121B0E"/>
    <w:rsid w:val="0012775D"/>
    <w:rsid w:val="00135683"/>
    <w:rsid w:val="00136BE9"/>
    <w:rsid w:val="00137069"/>
    <w:rsid w:val="00137F9B"/>
    <w:rsid w:val="0014319A"/>
    <w:rsid w:val="001437BD"/>
    <w:rsid w:val="00145C50"/>
    <w:rsid w:val="0014607D"/>
    <w:rsid w:val="001479AB"/>
    <w:rsid w:val="00150323"/>
    <w:rsid w:val="001519C1"/>
    <w:rsid w:val="00154394"/>
    <w:rsid w:val="00154497"/>
    <w:rsid w:val="00155105"/>
    <w:rsid w:val="00156449"/>
    <w:rsid w:val="00173E64"/>
    <w:rsid w:val="001772FC"/>
    <w:rsid w:val="001805E3"/>
    <w:rsid w:val="001814E4"/>
    <w:rsid w:val="001818ED"/>
    <w:rsid w:val="001828BB"/>
    <w:rsid w:val="001873FE"/>
    <w:rsid w:val="00187D91"/>
    <w:rsid w:val="00192110"/>
    <w:rsid w:val="00193019"/>
    <w:rsid w:val="00193CEA"/>
    <w:rsid w:val="00194277"/>
    <w:rsid w:val="0019476A"/>
    <w:rsid w:val="00197E6D"/>
    <w:rsid w:val="001A0FC2"/>
    <w:rsid w:val="001A1AF3"/>
    <w:rsid w:val="001A72C6"/>
    <w:rsid w:val="001A7387"/>
    <w:rsid w:val="001A785C"/>
    <w:rsid w:val="001A799E"/>
    <w:rsid w:val="001A79D9"/>
    <w:rsid w:val="001B1243"/>
    <w:rsid w:val="001B1259"/>
    <w:rsid w:val="001B274F"/>
    <w:rsid w:val="001B2883"/>
    <w:rsid w:val="001C0D49"/>
    <w:rsid w:val="001C1420"/>
    <w:rsid w:val="001C17FC"/>
    <w:rsid w:val="001C2AA5"/>
    <w:rsid w:val="001C2BF3"/>
    <w:rsid w:val="001C2DAD"/>
    <w:rsid w:val="001C33BF"/>
    <w:rsid w:val="001C5BA3"/>
    <w:rsid w:val="001C61D0"/>
    <w:rsid w:val="001C6B42"/>
    <w:rsid w:val="001D321E"/>
    <w:rsid w:val="001D5B8F"/>
    <w:rsid w:val="001E4405"/>
    <w:rsid w:val="001E4670"/>
    <w:rsid w:val="001E73F9"/>
    <w:rsid w:val="001F220C"/>
    <w:rsid w:val="001F27AF"/>
    <w:rsid w:val="001F348F"/>
    <w:rsid w:val="001F38CC"/>
    <w:rsid w:val="001F4490"/>
    <w:rsid w:val="001F6FA9"/>
    <w:rsid w:val="00200944"/>
    <w:rsid w:val="002037D9"/>
    <w:rsid w:val="00204D93"/>
    <w:rsid w:val="002059A6"/>
    <w:rsid w:val="0020618E"/>
    <w:rsid w:val="002079A2"/>
    <w:rsid w:val="00215603"/>
    <w:rsid w:val="00215B7C"/>
    <w:rsid w:val="00216496"/>
    <w:rsid w:val="00216C03"/>
    <w:rsid w:val="0022316F"/>
    <w:rsid w:val="0022507C"/>
    <w:rsid w:val="00226010"/>
    <w:rsid w:val="00230B54"/>
    <w:rsid w:val="0023234A"/>
    <w:rsid w:val="002341B1"/>
    <w:rsid w:val="00234386"/>
    <w:rsid w:val="00234F76"/>
    <w:rsid w:val="002358B2"/>
    <w:rsid w:val="002374B4"/>
    <w:rsid w:val="0024124F"/>
    <w:rsid w:val="00243066"/>
    <w:rsid w:val="00244314"/>
    <w:rsid w:val="00244ED3"/>
    <w:rsid w:val="0024634F"/>
    <w:rsid w:val="00250387"/>
    <w:rsid w:val="002619FF"/>
    <w:rsid w:val="00263C33"/>
    <w:rsid w:val="002653E5"/>
    <w:rsid w:val="00266E72"/>
    <w:rsid w:val="00270DBE"/>
    <w:rsid w:val="00273C7C"/>
    <w:rsid w:val="00281DE1"/>
    <w:rsid w:val="002844EE"/>
    <w:rsid w:val="00296A20"/>
    <w:rsid w:val="00296C28"/>
    <w:rsid w:val="00297191"/>
    <w:rsid w:val="002A2644"/>
    <w:rsid w:val="002A2E39"/>
    <w:rsid w:val="002A3967"/>
    <w:rsid w:val="002A67A1"/>
    <w:rsid w:val="002A70FD"/>
    <w:rsid w:val="002A7777"/>
    <w:rsid w:val="002A7AE5"/>
    <w:rsid w:val="002B27F7"/>
    <w:rsid w:val="002B38AD"/>
    <w:rsid w:val="002B55C7"/>
    <w:rsid w:val="002C4623"/>
    <w:rsid w:val="002C5248"/>
    <w:rsid w:val="002C7E70"/>
    <w:rsid w:val="002D00D8"/>
    <w:rsid w:val="002D22F4"/>
    <w:rsid w:val="002D4C91"/>
    <w:rsid w:val="002E1165"/>
    <w:rsid w:val="002E2396"/>
    <w:rsid w:val="002E2527"/>
    <w:rsid w:val="002E2809"/>
    <w:rsid w:val="002E4DC0"/>
    <w:rsid w:val="002E5045"/>
    <w:rsid w:val="002E7A6C"/>
    <w:rsid w:val="002F0893"/>
    <w:rsid w:val="002F4BDB"/>
    <w:rsid w:val="002F5533"/>
    <w:rsid w:val="002F7C70"/>
    <w:rsid w:val="00302706"/>
    <w:rsid w:val="00303B1D"/>
    <w:rsid w:val="00304030"/>
    <w:rsid w:val="003062AF"/>
    <w:rsid w:val="003064FC"/>
    <w:rsid w:val="00306FCE"/>
    <w:rsid w:val="00310318"/>
    <w:rsid w:val="0031037D"/>
    <w:rsid w:val="00313A6C"/>
    <w:rsid w:val="00315A6D"/>
    <w:rsid w:val="00315E20"/>
    <w:rsid w:val="00316954"/>
    <w:rsid w:val="0031753D"/>
    <w:rsid w:val="0032295E"/>
    <w:rsid w:val="00332EA3"/>
    <w:rsid w:val="00333BCA"/>
    <w:rsid w:val="00333D4B"/>
    <w:rsid w:val="00334E3B"/>
    <w:rsid w:val="00335076"/>
    <w:rsid w:val="003355EA"/>
    <w:rsid w:val="003371F1"/>
    <w:rsid w:val="00337677"/>
    <w:rsid w:val="00340435"/>
    <w:rsid w:val="00342273"/>
    <w:rsid w:val="00346168"/>
    <w:rsid w:val="003470AB"/>
    <w:rsid w:val="00354636"/>
    <w:rsid w:val="00360D82"/>
    <w:rsid w:val="00361062"/>
    <w:rsid w:val="0036152E"/>
    <w:rsid w:val="00361AA1"/>
    <w:rsid w:val="003660AB"/>
    <w:rsid w:val="00366200"/>
    <w:rsid w:val="003702C0"/>
    <w:rsid w:val="0037079C"/>
    <w:rsid w:val="00371EC7"/>
    <w:rsid w:val="0038095F"/>
    <w:rsid w:val="00384E4C"/>
    <w:rsid w:val="00385185"/>
    <w:rsid w:val="00386C0F"/>
    <w:rsid w:val="00386E60"/>
    <w:rsid w:val="00387B2F"/>
    <w:rsid w:val="003920A4"/>
    <w:rsid w:val="00392652"/>
    <w:rsid w:val="00393580"/>
    <w:rsid w:val="00394621"/>
    <w:rsid w:val="00394C7B"/>
    <w:rsid w:val="00395080"/>
    <w:rsid w:val="003960A6"/>
    <w:rsid w:val="00397023"/>
    <w:rsid w:val="003A0E06"/>
    <w:rsid w:val="003A40D5"/>
    <w:rsid w:val="003A43B7"/>
    <w:rsid w:val="003A5135"/>
    <w:rsid w:val="003A654A"/>
    <w:rsid w:val="003A7CC5"/>
    <w:rsid w:val="003B0315"/>
    <w:rsid w:val="003B04DB"/>
    <w:rsid w:val="003B1B22"/>
    <w:rsid w:val="003B276B"/>
    <w:rsid w:val="003B47B6"/>
    <w:rsid w:val="003B4A5F"/>
    <w:rsid w:val="003C0110"/>
    <w:rsid w:val="003C020A"/>
    <w:rsid w:val="003D08D6"/>
    <w:rsid w:val="003D13CA"/>
    <w:rsid w:val="003D32BB"/>
    <w:rsid w:val="003D3E98"/>
    <w:rsid w:val="003D5C49"/>
    <w:rsid w:val="003E0852"/>
    <w:rsid w:val="003E156D"/>
    <w:rsid w:val="003E3799"/>
    <w:rsid w:val="003E3D35"/>
    <w:rsid w:val="003E4798"/>
    <w:rsid w:val="003E4DDF"/>
    <w:rsid w:val="003F059F"/>
    <w:rsid w:val="003F09D1"/>
    <w:rsid w:val="003F0EB7"/>
    <w:rsid w:val="003F225F"/>
    <w:rsid w:val="003F2888"/>
    <w:rsid w:val="003F2C0C"/>
    <w:rsid w:val="003F7183"/>
    <w:rsid w:val="003F7C3D"/>
    <w:rsid w:val="00401F61"/>
    <w:rsid w:val="00411180"/>
    <w:rsid w:val="0041475A"/>
    <w:rsid w:val="00420DA9"/>
    <w:rsid w:val="0042186B"/>
    <w:rsid w:val="00422C7B"/>
    <w:rsid w:val="00422FC3"/>
    <w:rsid w:val="00427127"/>
    <w:rsid w:val="0043042C"/>
    <w:rsid w:val="00431365"/>
    <w:rsid w:val="00433E81"/>
    <w:rsid w:val="00434AE2"/>
    <w:rsid w:val="0043649B"/>
    <w:rsid w:val="004372F4"/>
    <w:rsid w:val="004374D2"/>
    <w:rsid w:val="004379A7"/>
    <w:rsid w:val="00440572"/>
    <w:rsid w:val="00441B4D"/>
    <w:rsid w:val="00444DB0"/>
    <w:rsid w:val="00446D1C"/>
    <w:rsid w:val="00451762"/>
    <w:rsid w:val="00451B33"/>
    <w:rsid w:val="0045225B"/>
    <w:rsid w:val="0045249A"/>
    <w:rsid w:val="00453055"/>
    <w:rsid w:val="004538BA"/>
    <w:rsid w:val="00454D67"/>
    <w:rsid w:val="00456110"/>
    <w:rsid w:val="004562BC"/>
    <w:rsid w:val="00457448"/>
    <w:rsid w:val="00460D0C"/>
    <w:rsid w:val="00461224"/>
    <w:rsid w:val="00461EBD"/>
    <w:rsid w:val="00462408"/>
    <w:rsid w:val="004626C0"/>
    <w:rsid w:val="00463203"/>
    <w:rsid w:val="0046394D"/>
    <w:rsid w:val="0046655F"/>
    <w:rsid w:val="00467282"/>
    <w:rsid w:val="0047065E"/>
    <w:rsid w:val="00472165"/>
    <w:rsid w:val="00482676"/>
    <w:rsid w:val="0048417B"/>
    <w:rsid w:val="00486F15"/>
    <w:rsid w:val="00490A55"/>
    <w:rsid w:val="004917F5"/>
    <w:rsid w:val="00491940"/>
    <w:rsid w:val="00492E04"/>
    <w:rsid w:val="004941C8"/>
    <w:rsid w:val="00495430"/>
    <w:rsid w:val="004A015F"/>
    <w:rsid w:val="004A043E"/>
    <w:rsid w:val="004A1B95"/>
    <w:rsid w:val="004A3480"/>
    <w:rsid w:val="004A432A"/>
    <w:rsid w:val="004A444C"/>
    <w:rsid w:val="004A6699"/>
    <w:rsid w:val="004A6E42"/>
    <w:rsid w:val="004B1DF8"/>
    <w:rsid w:val="004B5FD4"/>
    <w:rsid w:val="004B724A"/>
    <w:rsid w:val="004B729C"/>
    <w:rsid w:val="004B7438"/>
    <w:rsid w:val="004C45FC"/>
    <w:rsid w:val="004D02B9"/>
    <w:rsid w:val="004D032D"/>
    <w:rsid w:val="004D2BA1"/>
    <w:rsid w:val="004D5500"/>
    <w:rsid w:val="004D6C81"/>
    <w:rsid w:val="004E0A9E"/>
    <w:rsid w:val="004E5067"/>
    <w:rsid w:val="004E659D"/>
    <w:rsid w:val="004F1C80"/>
    <w:rsid w:val="004F1F47"/>
    <w:rsid w:val="004F2533"/>
    <w:rsid w:val="00504B1E"/>
    <w:rsid w:val="00507D88"/>
    <w:rsid w:val="0051604C"/>
    <w:rsid w:val="00516A30"/>
    <w:rsid w:val="0052023C"/>
    <w:rsid w:val="00520DDD"/>
    <w:rsid w:val="00523642"/>
    <w:rsid w:val="00530359"/>
    <w:rsid w:val="00530CC1"/>
    <w:rsid w:val="00532FFC"/>
    <w:rsid w:val="00533006"/>
    <w:rsid w:val="005362B0"/>
    <w:rsid w:val="00536FF0"/>
    <w:rsid w:val="00541AE6"/>
    <w:rsid w:val="0054546B"/>
    <w:rsid w:val="005476C1"/>
    <w:rsid w:val="005523C4"/>
    <w:rsid w:val="00553380"/>
    <w:rsid w:val="00553BD7"/>
    <w:rsid w:val="00554BA0"/>
    <w:rsid w:val="005557F6"/>
    <w:rsid w:val="005567D9"/>
    <w:rsid w:val="0055727B"/>
    <w:rsid w:val="00560915"/>
    <w:rsid w:val="00565E9E"/>
    <w:rsid w:val="00567728"/>
    <w:rsid w:val="005712F9"/>
    <w:rsid w:val="00571ECE"/>
    <w:rsid w:val="005730BC"/>
    <w:rsid w:val="005739F5"/>
    <w:rsid w:val="00574025"/>
    <w:rsid w:val="00575B97"/>
    <w:rsid w:val="00576894"/>
    <w:rsid w:val="00580035"/>
    <w:rsid w:val="005821BC"/>
    <w:rsid w:val="005826B1"/>
    <w:rsid w:val="005833EC"/>
    <w:rsid w:val="0058409A"/>
    <w:rsid w:val="00586E85"/>
    <w:rsid w:val="00592C72"/>
    <w:rsid w:val="0059438A"/>
    <w:rsid w:val="00594A9D"/>
    <w:rsid w:val="005A0C69"/>
    <w:rsid w:val="005A4CB4"/>
    <w:rsid w:val="005A4E69"/>
    <w:rsid w:val="005A5B4B"/>
    <w:rsid w:val="005B3412"/>
    <w:rsid w:val="005B5905"/>
    <w:rsid w:val="005B624E"/>
    <w:rsid w:val="005B673D"/>
    <w:rsid w:val="005C0987"/>
    <w:rsid w:val="005C70CF"/>
    <w:rsid w:val="005D3BCA"/>
    <w:rsid w:val="005D3F64"/>
    <w:rsid w:val="005D4384"/>
    <w:rsid w:val="005E1573"/>
    <w:rsid w:val="005E2904"/>
    <w:rsid w:val="005E3CE4"/>
    <w:rsid w:val="005E4211"/>
    <w:rsid w:val="005E4D61"/>
    <w:rsid w:val="005F1D46"/>
    <w:rsid w:val="005F377F"/>
    <w:rsid w:val="006008BC"/>
    <w:rsid w:val="00604ECB"/>
    <w:rsid w:val="00606805"/>
    <w:rsid w:val="006100DA"/>
    <w:rsid w:val="006102DC"/>
    <w:rsid w:val="006124F9"/>
    <w:rsid w:val="00613374"/>
    <w:rsid w:val="00613925"/>
    <w:rsid w:val="00613B25"/>
    <w:rsid w:val="00617355"/>
    <w:rsid w:val="0062190F"/>
    <w:rsid w:val="006241DD"/>
    <w:rsid w:val="006242E0"/>
    <w:rsid w:val="00624C32"/>
    <w:rsid w:val="00625ABB"/>
    <w:rsid w:val="00625EE8"/>
    <w:rsid w:val="0062765A"/>
    <w:rsid w:val="00627E25"/>
    <w:rsid w:val="00630DEA"/>
    <w:rsid w:val="00632A22"/>
    <w:rsid w:val="00633039"/>
    <w:rsid w:val="00634E09"/>
    <w:rsid w:val="0063772D"/>
    <w:rsid w:val="006413AA"/>
    <w:rsid w:val="00642646"/>
    <w:rsid w:val="006436F3"/>
    <w:rsid w:val="0064474D"/>
    <w:rsid w:val="00646E90"/>
    <w:rsid w:val="00650D66"/>
    <w:rsid w:val="00652681"/>
    <w:rsid w:val="006548CC"/>
    <w:rsid w:val="006560F9"/>
    <w:rsid w:val="00660DD3"/>
    <w:rsid w:val="00661068"/>
    <w:rsid w:val="006621D2"/>
    <w:rsid w:val="00662615"/>
    <w:rsid w:val="00663C79"/>
    <w:rsid w:val="006641CC"/>
    <w:rsid w:val="006669C5"/>
    <w:rsid w:val="006676C4"/>
    <w:rsid w:val="006711EF"/>
    <w:rsid w:val="006735C3"/>
    <w:rsid w:val="0067422D"/>
    <w:rsid w:val="006743F4"/>
    <w:rsid w:val="006747B9"/>
    <w:rsid w:val="0067651B"/>
    <w:rsid w:val="0067785B"/>
    <w:rsid w:val="0068151F"/>
    <w:rsid w:val="0068393D"/>
    <w:rsid w:val="00683EA5"/>
    <w:rsid w:val="00685A34"/>
    <w:rsid w:val="006924D3"/>
    <w:rsid w:val="0069342F"/>
    <w:rsid w:val="0069349D"/>
    <w:rsid w:val="0069478B"/>
    <w:rsid w:val="006955E8"/>
    <w:rsid w:val="00697D09"/>
    <w:rsid w:val="006A3FD6"/>
    <w:rsid w:val="006A55CA"/>
    <w:rsid w:val="006A565C"/>
    <w:rsid w:val="006A56A8"/>
    <w:rsid w:val="006A5E44"/>
    <w:rsid w:val="006A67B3"/>
    <w:rsid w:val="006B00FA"/>
    <w:rsid w:val="006B0F39"/>
    <w:rsid w:val="006B2EF0"/>
    <w:rsid w:val="006B3DDE"/>
    <w:rsid w:val="006B515E"/>
    <w:rsid w:val="006B54AE"/>
    <w:rsid w:val="006C2AA5"/>
    <w:rsid w:val="006C36A9"/>
    <w:rsid w:val="006C514B"/>
    <w:rsid w:val="006C5C16"/>
    <w:rsid w:val="006C705C"/>
    <w:rsid w:val="006D0506"/>
    <w:rsid w:val="006D1348"/>
    <w:rsid w:val="006D1557"/>
    <w:rsid w:val="006D1A0D"/>
    <w:rsid w:val="006D209E"/>
    <w:rsid w:val="006D2BC5"/>
    <w:rsid w:val="006D311A"/>
    <w:rsid w:val="006D3E90"/>
    <w:rsid w:val="006D459D"/>
    <w:rsid w:val="006D47A5"/>
    <w:rsid w:val="006D7EB3"/>
    <w:rsid w:val="006E0FCB"/>
    <w:rsid w:val="006E157A"/>
    <w:rsid w:val="006E1FBB"/>
    <w:rsid w:val="006E450F"/>
    <w:rsid w:val="006E544F"/>
    <w:rsid w:val="006E67FA"/>
    <w:rsid w:val="006E6B9A"/>
    <w:rsid w:val="006E6E12"/>
    <w:rsid w:val="006E73C2"/>
    <w:rsid w:val="006F408A"/>
    <w:rsid w:val="006F5112"/>
    <w:rsid w:val="006F64F5"/>
    <w:rsid w:val="007005AE"/>
    <w:rsid w:val="007026D8"/>
    <w:rsid w:val="00702F1E"/>
    <w:rsid w:val="007036F2"/>
    <w:rsid w:val="007054B5"/>
    <w:rsid w:val="00706712"/>
    <w:rsid w:val="0071047B"/>
    <w:rsid w:val="00710553"/>
    <w:rsid w:val="00710FBB"/>
    <w:rsid w:val="00712514"/>
    <w:rsid w:val="00713132"/>
    <w:rsid w:val="00713142"/>
    <w:rsid w:val="00714E98"/>
    <w:rsid w:val="00716D61"/>
    <w:rsid w:val="00716F3F"/>
    <w:rsid w:val="00723CFF"/>
    <w:rsid w:val="00723FDF"/>
    <w:rsid w:val="00725FB7"/>
    <w:rsid w:val="00726871"/>
    <w:rsid w:val="00727DCE"/>
    <w:rsid w:val="007300E6"/>
    <w:rsid w:val="00730590"/>
    <w:rsid w:val="007305C9"/>
    <w:rsid w:val="007353E2"/>
    <w:rsid w:val="00736E1A"/>
    <w:rsid w:val="0073705B"/>
    <w:rsid w:val="00737F33"/>
    <w:rsid w:val="00740AA0"/>
    <w:rsid w:val="007418A3"/>
    <w:rsid w:val="007433B1"/>
    <w:rsid w:val="0074341D"/>
    <w:rsid w:val="007436F7"/>
    <w:rsid w:val="007441CC"/>
    <w:rsid w:val="00744389"/>
    <w:rsid w:val="007455AE"/>
    <w:rsid w:val="00745C34"/>
    <w:rsid w:val="00746AF5"/>
    <w:rsid w:val="00746B97"/>
    <w:rsid w:val="00747608"/>
    <w:rsid w:val="0075050E"/>
    <w:rsid w:val="00752F25"/>
    <w:rsid w:val="00755425"/>
    <w:rsid w:val="00762236"/>
    <w:rsid w:val="0076285F"/>
    <w:rsid w:val="007629B9"/>
    <w:rsid w:val="00762A51"/>
    <w:rsid w:val="00762D29"/>
    <w:rsid w:val="00763B17"/>
    <w:rsid w:val="00765C90"/>
    <w:rsid w:val="00766BDE"/>
    <w:rsid w:val="00767BE4"/>
    <w:rsid w:val="007721B4"/>
    <w:rsid w:val="00776A58"/>
    <w:rsid w:val="007804F3"/>
    <w:rsid w:val="007807B6"/>
    <w:rsid w:val="00780B83"/>
    <w:rsid w:val="007824F5"/>
    <w:rsid w:val="00782E0F"/>
    <w:rsid w:val="0078325B"/>
    <w:rsid w:val="00783B9D"/>
    <w:rsid w:val="0078594D"/>
    <w:rsid w:val="00786278"/>
    <w:rsid w:val="00786883"/>
    <w:rsid w:val="00787DEF"/>
    <w:rsid w:val="007921CA"/>
    <w:rsid w:val="0079465F"/>
    <w:rsid w:val="007963BA"/>
    <w:rsid w:val="007A02F1"/>
    <w:rsid w:val="007A1164"/>
    <w:rsid w:val="007A5C45"/>
    <w:rsid w:val="007A7E50"/>
    <w:rsid w:val="007B094C"/>
    <w:rsid w:val="007B1732"/>
    <w:rsid w:val="007B33D6"/>
    <w:rsid w:val="007B7999"/>
    <w:rsid w:val="007C044D"/>
    <w:rsid w:val="007C1869"/>
    <w:rsid w:val="007C3C25"/>
    <w:rsid w:val="007C3DA3"/>
    <w:rsid w:val="007C41CC"/>
    <w:rsid w:val="007C43E3"/>
    <w:rsid w:val="007C4E4E"/>
    <w:rsid w:val="007D0606"/>
    <w:rsid w:val="007D0FEA"/>
    <w:rsid w:val="007D10D5"/>
    <w:rsid w:val="007D1FFF"/>
    <w:rsid w:val="007D227C"/>
    <w:rsid w:val="007D245A"/>
    <w:rsid w:val="007D2779"/>
    <w:rsid w:val="007D3430"/>
    <w:rsid w:val="007D44A1"/>
    <w:rsid w:val="007E2864"/>
    <w:rsid w:val="007E3953"/>
    <w:rsid w:val="007E3C02"/>
    <w:rsid w:val="007E4A4E"/>
    <w:rsid w:val="007E6F47"/>
    <w:rsid w:val="007E7322"/>
    <w:rsid w:val="007F1B18"/>
    <w:rsid w:val="007F5477"/>
    <w:rsid w:val="007F624F"/>
    <w:rsid w:val="007F6A05"/>
    <w:rsid w:val="007F6F75"/>
    <w:rsid w:val="00800BF3"/>
    <w:rsid w:val="0080162D"/>
    <w:rsid w:val="0080356D"/>
    <w:rsid w:val="00804350"/>
    <w:rsid w:val="00804561"/>
    <w:rsid w:val="0080559C"/>
    <w:rsid w:val="00806A05"/>
    <w:rsid w:val="0081065E"/>
    <w:rsid w:val="00812E90"/>
    <w:rsid w:val="008205B6"/>
    <w:rsid w:val="00820959"/>
    <w:rsid w:val="00821880"/>
    <w:rsid w:val="00837011"/>
    <w:rsid w:val="00837374"/>
    <w:rsid w:val="008374B5"/>
    <w:rsid w:val="00844B28"/>
    <w:rsid w:val="0084737A"/>
    <w:rsid w:val="008504EF"/>
    <w:rsid w:val="00850818"/>
    <w:rsid w:val="008510D3"/>
    <w:rsid w:val="00852865"/>
    <w:rsid w:val="00855EDC"/>
    <w:rsid w:val="00856080"/>
    <w:rsid w:val="00856AA9"/>
    <w:rsid w:val="00856E2A"/>
    <w:rsid w:val="00863BAE"/>
    <w:rsid w:val="008640AC"/>
    <w:rsid w:val="00864994"/>
    <w:rsid w:val="00871429"/>
    <w:rsid w:val="0087211A"/>
    <w:rsid w:val="00872D46"/>
    <w:rsid w:val="00873FDF"/>
    <w:rsid w:val="00875653"/>
    <w:rsid w:val="0087710F"/>
    <w:rsid w:val="008832D0"/>
    <w:rsid w:val="008838C7"/>
    <w:rsid w:val="00883AE7"/>
    <w:rsid w:val="008858E4"/>
    <w:rsid w:val="0089013A"/>
    <w:rsid w:val="00891011"/>
    <w:rsid w:val="008910FE"/>
    <w:rsid w:val="008948E7"/>
    <w:rsid w:val="008974E9"/>
    <w:rsid w:val="008A108C"/>
    <w:rsid w:val="008B442E"/>
    <w:rsid w:val="008B7ECE"/>
    <w:rsid w:val="008C17BD"/>
    <w:rsid w:val="008C3E34"/>
    <w:rsid w:val="008C54A5"/>
    <w:rsid w:val="008C54C9"/>
    <w:rsid w:val="008C7E52"/>
    <w:rsid w:val="008D160E"/>
    <w:rsid w:val="008D26D0"/>
    <w:rsid w:val="008E546E"/>
    <w:rsid w:val="008E60BB"/>
    <w:rsid w:val="008F4750"/>
    <w:rsid w:val="008F5741"/>
    <w:rsid w:val="008F60B8"/>
    <w:rsid w:val="008F7439"/>
    <w:rsid w:val="00900FF6"/>
    <w:rsid w:val="00905B9E"/>
    <w:rsid w:val="0090635C"/>
    <w:rsid w:val="0091135F"/>
    <w:rsid w:val="00912CD9"/>
    <w:rsid w:val="00912F96"/>
    <w:rsid w:val="00915D5C"/>
    <w:rsid w:val="00920343"/>
    <w:rsid w:val="009215A6"/>
    <w:rsid w:val="00925DDB"/>
    <w:rsid w:val="00935BED"/>
    <w:rsid w:val="009368E3"/>
    <w:rsid w:val="0093786C"/>
    <w:rsid w:val="00940908"/>
    <w:rsid w:val="00941EDB"/>
    <w:rsid w:val="009440E8"/>
    <w:rsid w:val="009446D6"/>
    <w:rsid w:val="009476D7"/>
    <w:rsid w:val="00950570"/>
    <w:rsid w:val="009507CB"/>
    <w:rsid w:val="00950FBC"/>
    <w:rsid w:val="009532E9"/>
    <w:rsid w:val="00953DCE"/>
    <w:rsid w:val="009706FC"/>
    <w:rsid w:val="00974CA2"/>
    <w:rsid w:val="00976E19"/>
    <w:rsid w:val="0098028A"/>
    <w:rsid w:val="009806F4"/>
    <w:rsid w:val="00982607"/>
    <w:rsid w:val="00982A8B"/>
    <w:rsid w:val="00982C3B"/>
    <w:rsid w:val="00984D7F"/>
    <w:rsid w:val="00990FBD"/>
    <w:rsid w:val="009932E0"/>
    <w:rsid w:val="00993ABC"/>
    <w:rsid w:val="00993E5A"/>
    <w:rsid w:val="00995D43"/>
    <w:rsid w:val="00996CA9"/>
    <w:rsid w:val="009A2DCF"/>
    <w:rsid w:val="009A3BB1"/>
    <w:rsid w:val="009A42D6"/>
    <w:rsid w:val="009A476A"/>
    <w:rsid w:val="009A4F7E"/>
    <w:rsid w:val="009A65B1"/>
    <w:rsid w:val="009A7DDD"/>
    <w:rsid w:val="009B1C36"/>
    <w:rsid w:val="009B23DC"/>
    <w:rsid w:val="009B41F5"/>
    <w:rsid w:val="009B4368"/>
    <w:rsid w:val="009B6324"/>
    <w:rsid w:val="009C15A3"/>
    <w:rsid w:val="009C2A99"/>
    <w:rsid w:val="009C355B"/>
    <w:rsid w:val="009C45D5"/>
    <w:rsid w:val="009D6A34"/>
    <w:rsid w:val="009E025A"/>
    <w:rsid w:val="009E1295"/>
    <w:rsid w:val="009E7A11"/>
    <w:rsid w:val="009F1B61"/>
    <w:rsid w:val="009F72B0"/>
    <w:rsid w:val="00A00FE2"/>
    <w:rsid w:val="00A035DE"/>
    <w:rsid w:val="00A03CF0"/>
    <w:rsid w:val="00A048FF"/>
    <w:rsid w:val="00A06CED"/>
    <w:rsid w:val="00A074F9"/>
    <w:rsid w:val="00A11A3A"/>
    <w:rsid w:val="00A13ED8"/>
    <w:rsid w:val="00A14244"/>
    <w:rsid w:val="00A14439"/>
    <w:rsid w:val="00A161C0"/>
    <w:rsid w:val="00A16F4D"/>
    <w:rsid w:val="00A20AEA"/>
    <w:rsid w:val="00A217A4"/>
    <w:rsid w:val="00A2289D"/>
    <w:rsid w:val="00A236DB"/>
    <w:rsid w:val="00A26132"/>
    <w:rsid w:val="00A27EA0"/>
    <w:rsid w:val="00A30237"/>
    <w:rsid w:val="00A303AF"/>
    <w:rsid w:val="00A32087"/>
    <w:rsid w:val="00A32C0F"/>
    <w:rsid w:val="00A3369C"/>
    <w:rsid w:val="00A3472B"/>
    <w:rsid w:val="00A352D6"/>
    <w:rsid w:val="00A37E11"/>
    <w:rsid w:val="00A40291"/>
    <w:rsid w:val="00A40F0F"/>
    <w:rsid w:val="00A42D47"/>
    <w:rsid w:val="00A437D2"/>
    <w:rsid w:val="00A44866"/>
    <w:rsid w:val="00A44897"/>
    <w:rsid w:val="00A4518B"/>
    <w:rsid w:val="00A45BBA"/>
    <w:rsid w:val="00A50134"/>
    <w:rsid w:val="00A505E7"/>
    <w:rsid w:val="00A5066F"/>
    <w:rsid w:val="00A51750"/>
    <w:rsid w:val="00A52287"/>
    <w:rsid w:val="00A550A1"/>
    <w:rsid w:val="00A561EA"/>
    <w:rsid w:val="00A57C68"/>
    <w:rsid w:val="00A619F9"/>
    <w:rsid w:val="00A643C5"/>
    <w:rsid w:val="00A65BC0"/>
    <w:rsid w:val="00A716AE"/>
    <w:rsid w:val="00A73F4C"/>
    <w:rsid w:val="00A80650"/>
    <w:rsid w:val="00A81D0C"/>
    <w:rsid w:val="00A81E3E"/>
    <w:rsid w:val="00A851BF"/>
    <w:rsid w:val="00A85AFE"/>
    <w:rsid w:val="00A868AF"/>
    <w:rsid w:val="00A90E26"/>
    <w:rsid w:val="00A9118C"/>
    <w:rsid w:val="00A977FD"/>
    <w:rsid w:val="00A97E25"/>
    <w:rsid w:val="00AA42E9"/>
    <w:rsid w:val="00AB3DB2"/>
    <w:rsid w:val="00AB4292"/>
    <w:rsid w:val="00AB5A7C"/>
    <w:rsid w:val="00AB72B5"/>
    <w:rsid w:val="00AC39E4"/>
    <w:rsid w:val="00AC3B0C"/>
    <w:rsid w:val="00AC5C56"/>
    <w:rsid w:val="00AC61B3"/>
    <w:rsid w:val="00AC7782"/>
    <w:rsid w:val="00AD1B6F"/>
    <w:rsid w:val="00AD2469"/>
    <w:rsid w:val="00AD4C3C"/>
    <w:rsid w:val="00AD582F"/>
    <w:rsid w:val="00AE0B33"/>
    <w:rsid w:val="00AE11F8"/>
    <w:rsid w:val="00AE5FD1"/>
    <w:rsid w:val="00AF11A5"/>
    <w:rsid w:val="00AF3F71"/>
    <w:rsid w:val="00AF3F9A"/>
    <w:rsid w:val="00AF6CC7"/>
    <w:rsid w:val="00B02FBF"/>
    <w:rsid w:val="00B03952"/>
    <w:rsid w:val="00B04939"/>
    <w:rsid w:val="00B04E29"/>
    <w:rsid w:val="00B05392"/>
    <w:rsid w:val="00B05E07"/>
    <w:rsid w:val="00B0632E"/>
    <w:rsid w:val="00B07129"/>
    <w:rsid w:val="00B07C88"/>
    <w:rsid w:val="00B13415"/>
    <w:rsid w:val="00B1358C"/>
    <w:rsid w:val="00B141F6"/>
    <w:rsid w:val="00B153B0"/>
    <w:rsid w:val="00B168EA"/>
    <w:rsid w:val="00B16907"/>
    <w:rsid w:val="00B16A86"/>
    <w:rsid w:val="00B178D0"/>
    <w:rsid w:val="00B20FF0"/>
    <w:rsid w:val="00B236F0"/>
    <w:rsid w:val="00B25EF0"/>
    <w:rsid w:val="00B267BD"/>
    <w:rsid w:val="00B30222"/>
    <w:rsid w:val="00B30894"/>
    <w:rsid w:val="00B30BB1"/>
    <w:rsid w:val="00B3225B"/>
    <w:rsid w:val="00B34C04"/>
    <w:rsid w:val="00B35AF9"/>
    <w:rsid w:val="00B41D21"/>
    <w:rsid w:val="00B4255C"/>
    <w:rsid w:val="00B46077"/>
    <w:rsid w:val="00B46133"/>
    <w:rsid w:val="00B461EA"/>
    <w:rsid w:val="00B5050D"/>
    <w:rsid w:val="00B63305"/>
    <w:rsid w:val="00B637B4"/>
    <w:rsid w:val="00B64751"/>
    <w:rsid w:val="00B67646"/>
    <w:rsid w:val="00B708CC"/>
    <w:rsid w:val="00B71CF6"/>
    <w:rsid w:val="00B72D2D"/>
    <w:rsid w:val="00B72DAF"/>
    <w:rsid w:val="00B73992"/>
    <w:rsid w:val="00B744F1"/>
    <w:rsid w:val="00B8204A"/>
    <w:rsid w:val="00B84E24"/>
    <w:rsid w:val="00B8735E"/>
    <w:rsid w:val="00B87405"/>
    <w:rsid w:val="00B8746D"/>
    <w:rsid w:val="00B90763"/>
    <w:rsid w:val="00B9387E"/>
    <w:rsid w:val="00B94482"/>
    <w:rsid w:val="00B96021"/>
    <w:rsid w:val="00B97FC6"/>
    <w:rsid w:val="00BA0FDB"/>
    <w:rsid w:val="00BA3A17"/>
    <w:rsid w:val="00BA47EB"/>
    <w:rsid w:val="00BA5BFD"/>
    <w:rsid w:val="00BA6775"/>
    <w:rsid w:val="00BA6E43"/>
    <w:rsid w:val="00BB325B"/>
    <w:rsid w:val="00BC12DD"/>
    <w:rsid w:val="00BC2AE8"/>
    <w:rsid w:val="00BC45AE"/>
    <w:rsid w:val="00BC619E"/>
    <w:rsid w:val="00BC6DD3"/>
    <w:rsid w:val="00BC6FD8"/>
    <w:rsid w:val="00BD16E1"/>
    <w:rsid w:val="00BD39C3"/>
    <w:rsid w:val="00BD3A19"/>
    <w:rsid w:val="00BD46C9"/>
    <w:rsid w:val="00BE4389"/>
    <w:rsid w:val="00BF042A"/>
    <w:rsid w:val="00BF1579"/>
    <w:rsid w:val="00C00599"/>
    <w:rsid w:val="00C034EC"/>
    <w:rsid w:val="00C05724"/>
    <w:rsid w:val="00C113A3"/>
    <w:rsid w:val="00C114FB"/>
    <w:rsid w:val="00C11528"/>
    <w:rsid w:val="00C122AD"/>
    <w:rsid w:val="00C12EC2"/>
    <w:rsid w:val="00C1564F"/>
    <w:rsid w:val="00C159C1"/>
    <w:rsid w:val="00C16028"/>
    <w:rsid w:val="00C16650"/>
    <w:rsid w:val="00C16EF8"/>
    <w:rsid w:val="00C212FD"/>
    <w:rsid w:val="00C2208C"/>
    <w:rsid w:val="00C2280A"/>
    <w:rsid w:val="00C22CCA"/>
    <w:rsid w:val="00C2452F"/>
    <w:rsid w:val="00C24993"/>
    <w:rsid w:val="00C30A3D"/>
    <w:rsid w:val="00C3195D"/>
    <w:rsid w:val="00C3397B"/>
    <w:rsid w:val="00C37E80"/>
    <w:rsid w:val="00C40038"/>
    <w:rsid w:val="00C40380"/>
    <w:rsid w:val="00C41114"/>
    <w:rsid w:val="00C4193D"/>
    <w:rsid w:val="00C42954"/>
    <w:rsid w:val="00C4444F"/>
    <w:rsid w:val="00C45693"/>
    <w:rsid w:val="00C4681D"/>
    <w:rsid w:val="00C512D3"/>
    <w:rsid w:val="00C5138C"/>
    <w:rsid w:val="00C523FA"/>
    <w:rsid w:val="00C5305E"/>
    <w:rsid w:val="00C546FC"/>
    <w:rsid w:val="00C55616"/>
    <w:rsid w:val="00C57F5A"/>
    <w:rsid w:val="00C62584"/>
    <w:rsid w:val="00C62793"/>
    <w:rsid w:val="00C6477D"/>
    <w:rsid w:val="00C648A7"/>
    <w:rsid w:val="00C66591"/>
    <w:rsid w:val="00C7407F"/>
    <w:rsid w:val="00C7676A"/>
    <w:rsid w:val="00C8060E"/>
    <w:rsid w:val="00C83D9D"/>
    <w:rsid w:val="00C84C41"/>
    <w:rsid w:val="00C87086"/>
    <w:rsid w:val="00C87A09"/>
    <w:rsid w:val="00C91981"/>
    <w:rsid w:val="00C93739"/>
    <w:rsid w:val="00C96712"/>
    <w:rsid w:val="00CA0C72"/>
    <w:rsid w:val="00CA3BDA"/>
    <w:rsid w:val="00CA4C52"/>
    <w:rsid w:val="00CB2186"/>
    <w:rsid w:val="00CB4B6D"/>
    <w:rsid w:val="00CB59C5"/>
    <w:rsid w:val="00CC2A04"/>
    <w:rsid w:val="00CC3310"/>
    <w:rsid w:val="00CC4604"/>
    <w:rsid w:val="00CC557D"/>
    <w:rsid w:val="00CC5803"/>
    <w:rsid w:val="00CC69B5"/>
    <w:rsid w:val="00CC773C"/>
    <w:rsid w:val="00CD216C"/>
    <w:rsid w:val="00CD31E7"/>
    <w:rsid w:val="00CD6DA8"/>
    <w:rsid w:val="00CE0839"/>
    <w:rsid w:val="00CF0162"/>
    <w:rsid w:val="00CF1543"/>
    <w:rsid w:val="00CF38F2"/>
    <w:rsid w:val="00CF5444"/>
    <w:rsid w:val="00CF67D6"/>
    <w:rsid w:val="00CF6FDF"/>
    <w:rsid w:val="00CF77A0"/>
    <w:rsid w:val="00D03684"/>
    <w:rsid w:val="00D04116"/>
    <w:rsid w:val="00D04246"/>
    <w:rsid w:val="00D0569A"/>
    <w:rsid w:val="00D105BB"/>
    <w:rsid w:val="00D11F47"/>
    <w:rsid w:val="00D124BD"/>
    <w:rsid w:val="00D12BDF"/>
    <w:rsid w:val="00D13EEF"/>
    <w:rsid w:val="00D13F94"/>
    <w:rsid w:val="00D16A19"/>
    <w:rsid w:val="00D2235F"/>
    <w:rsid w:val="00D37620"/>
    <w:rsid w:val="00D43EFE"/>
    <w:rsid w:val="00D4617D"/>
    <w:rsid w:val="00D50442"/>
    <w:rsid w:val="00D51406"/>
    <w:rsid w:val="00D54FE6"/>
    <w:rsid w:val="00D624A6"/>
    <w:rsid w:val="00D62A1A"/>
    <w:rsid w:val="00D64FB6"/>
    <w:rsid w:val="00D65AE3"/>
    <w:rsid w:val="00D66A1C"/>
    <w:rsid w:val="00D67F2E"/>
    <w:rsid w:val="00D70DCF"/>
    <w:rsid w:val="00D714AE"/>
    <w:rsid w:val="00D758A3"/>
    <w:rsid w:val="00D75D18"/>
    <w:rsid w:val="00D82090"/>
    <w:rsid w:val="00D825DF"/>
    <w:rsid w:val="00D86683"/>
    <w:rsid w:val="00D9066D"/>
    <w:rsid w:val="00D90D8A"/>
    <w:rsid w:val="00D91856"/>
    <w:rsid w:val="00D948FF"/>
    <w:rsid w:val="00D94FA7"/>
    <w:rsid w:val="00D97381"/>
    <w:rsid w:val="00DA0FBE"/>
    <w:rsid w:val="00DA19E3"/>
    <w:rsid w:val="00DA1EBE"/>
    <w:rsid w:val="00DA2887"/>
    <w:rsid w:val="00DA407E"/>
    <w:rsid w:val="00DA7769"/>
    <w:rsid w:val="00DA7BB0"/>
    <w:rsid w:val="00DA7F11"/>
    <w:rsid w:val="00DA7F57"/>
    <w:rsid w:val="00DB1415"/>
    <w:rsid w:val="00DB4FE5"/>
    <w:rsid w:val="00DB646A"/>
    <w:rsid w:val="00DC04CF"/>
    <w:rsid w:val="00DC1703"/>
    <w:rsid w:val="00DC1C9F"/>
    <w:rsid w:val="00DC306A"/>
    <w:rsid w:val="00DC4F28"/>
    <w:rsid w:val="00DD2FCE"/>
    <w:rsid w:val="00DD3129"/>
    <w:rsid w:val="00DD3EDF"/>
    <w:rsid w:val="00DD46F1"/>
    <w:rsid w:val="00DD674D"/>
    <w:rsid w:val="00DD6DA0"/>
    <w:rsid w:val="00DD6F8F"/>
    <w:rsid w:val="00DD6FBB"/>
    <w:rsid w:val="00DD7444"/>
    <w:rsid w:val="00DE7127"/>
    <w:rsid w:val="00DF0710"/>
    <w:rsid w:val="00DF0A9D"/>
    <w:rsid w:val="00DF18D9"/>
    <w:rsid w:val="00DF2C96"/>
    <w:rsid w:val="00DF3933"/>
    <w:rsid w:val="00DF48F1"/>
    <w:rsid w:val="00DF6282"/>
    <w:rsid w:val="00E02395"/>
    <w:rsid w:val="00E02B55"/>
    <w:rsid w:val="00E03D0B"/>
    <w:rsid w:val="00E04FAC"/>
    <w:rsid w:val="00E05541"/>
    <w:rsid w:val="00E10DFA"/>
    <w:rsid w:val="00E121B4"/>
    <w:rsid w:val="00E1580A"/>
    <w:rsid w:val="00E16476"/>
    <w:rsid w:val="00E170FB"/>
    <w:rsid w:val="00E21CF5"/>
    <w:rsid w:val="00E245B1"/>
    <w:rsid w:val="00E246E9"/>
    <w:rsid w:val="00E24D03"/>
    <w:rsid w:val="00E24FC7"/>
    <w:rsid w:val="00E26FCD"/>
    <w:rsid w:val="00E27AAA"/>
    <w:rsid w:val="00E307AA"/>
    <w:rsid w:val="00E33B67"/>
    <w:rsid w:val="00E347C9"/>
    <w:rsid w:val="00E347F9"/>
    <w:rsid w:val="00E351F9"/>
    <w:rsid w:val="00E35589"/>
    <w:rsid w:val="00E3780C"/>
    <w:rsid w:val="00E37F27"/>
    <w:rsid w:val="00E410E3"/>
    <w:rsid w:val="00E4360B"/>
    <w:rsid w:val="00E44B35"/>
    <w:rsid w:val="00E44CB3"/>
    <w:rsid w:val="00E4512C"/>
    <w:rsid w:val="00E46DB4"/>
    <w:rsid w:val="00E50316"/>
    <w:rsid w:val="00E503C6"/>
    <w:rsid w:val="00E52F0D"/>
    <w:rsid w:val="00E53DB7"/>
    <w:rsid w:val="00E53F43"/>
    <w:rsid w:val="00E5526F"/>
    <w:rsid w:val="00E57A49"/>
    <w:rsid w:val="00E61075"/>
    <w:rsid w:val="00E64A9F"/>
    <w:rsid w:val="00E65E0A"/>
    <w:rsid w:val="00E708EA"/>
    <w:rsid w:val="00E7317B"/>
    <w:rsid w:val="00E73375"/>
    <w:rsid w:val="00E75DCF"/>
    <w:rsid w:val="00E81993"/>
    <w:rsid w:val="00E844F1"/>
    <w:rsid w:val="00E84A5E"/>
    <w:rsid w:val="00E85D70"/>
    <w:rsid w:val="00E9070B"/>
    <w:rsid w:val="00E92053"/>
    <w:rsid w:val="00E97129"/>
    <w:rsid w:val="00E97AAE"/>
    <w:rsid w:val="00EA0EBF"/>
    <w:rsid w:val="00EA1E98"/>
    <w:rsid w:val="00EA214E"/>
    <w:rsid w:val="00EA2291"/>
    <w:rsid w:val="00EA3A7F"/>
    <w:rsid w:val="00EA67D2"/>
    <w:rsid w:val="00EB0A77"/>
    <w:rsid w:val="00EB25DB"/>
    <w:rsid w:val="00EB294D"/>
    <w:rsid w:val="00EB478B"/>
    <w:rsid w:val="00EB4B44"/>
    <w:rsid w:val="00EB525E"/>
    <w:rsid w:val="00EC0536"/>
    <w:rsid w:val="00EC0543"/>
    <w:rsid w:val="00EC08C2"/>
    <w:rsid w:val="00EC11E5"/>
    <w:rsid w:val="00EC5F9E"/>
    <w:rsid w:val="00EC6109"/>
    <w:rsid w:val="00ED20FB"/>
    <w:rsid w:val="00ED3F67"/>
    <w:rsid w:val="00EE1A54"/>
    <w:rsid w:val="00EE1CC3"/>
    <w:rsid w:val="00EE1FD4"/>
    <w:rsid w:val="00EE3361"/>
    <w:rsid w:val="00EE39E0"/>
    <w:rsid w:val="00EE3F17"/>
    <w:rsid w:val="00EE441C"/>
    <w:rsid w:val="00EE528B"/>
    <w:rsid w:val="00EE74CF"/>
    <w:rsid w:val="00EF4E8F"/>
    <w:rsid w:val="00EF6D81"/>
    <w:rsid w:val="00F00B5F"/>
    <w:rsid w:val="00F01EA9"/>
    <w:rsid w:val="00F03A6E"/>
    <w:rsid w:val="00F06E41"/>
    <w:rsid w:val="00F07023"/>
    <w:rsid w:val="00F1241A"/>
    <w:rsid w:val="00F126BC"/>
    <w:rsid w:val="00F12E73"/>
    <w:rsid w:val="00F147FA"/>
    <w:rsid w:val="00F14CFF"/>
    <w:rsid w:val="00F176C7"/>
    <w:rsid w:val="00F31354"/>
    <w:rsid w:val="00F32406"/>
    <w:rsid w:val="00F32F03"/>
    <w:rsid w:val="00F35155"/>
    <w:rsid w:val="00F3598F"/>
    <w:rsid w:val="00F37060"/>
    <w:rsid w:val="00F4369F"/>
    <w:rsid w:val="00F53121"/>
    <w:rsid w:val="00F54855"/>
    <w:rsid w:val="00F55BA6"/>
    <w:rsid w:val="00F60A13"/>
    <w:rsid w:val="00F62F3C"/>
    <w:rsid w:val="00F63A12"/>
    <w:rsid w:val="00F64785"/>
    <w:rsid w:val="00F6548B"/>
    <w:rsid w:val="00F70759"/>
    <w:rsid w:val="00F7189C"/>
    <w:rsid w:val="00F72925"/>
    <w:rsid w:val="00F739B7"/>
    <w:rsid w:val="00F73C7A"/>
    <w:rsid w:val="00F764C8"/>
    <w:rsid w:val="00F906E3"/>
    <w:rsid w:val="00F9491C"/>
    <w:rsid w:val="00FA1423"/>
    <w:rsid w:val="00FB1264"/>
    <w:rsid w:val="00FB4503"/>
    <w:rsid w:val="00FB773F"/>
    <w:rsid w:val="00FC0193"/>
    <w:rsid w:val="00FC240A"/>
    <w:rsid w:val="00FD00E7"/>
    <w:rsid w:val="00FD0B70"/>
    <w:rsid w:val="00FD1774"/>
    <w:rsid w:val="00FD252E"/>
    <w:rsid w:val="00FD3237"/>
    <w:rsid w:val="00FD54FA"/>
    <w:rsid w:val="00FD5E32"/>
    <w:rsid w:val="00FD6DD6"/>
    <w:rsid w:val="00FE128D"/>
    <w:rsid w:val="00FE2D72"/>
    <w:rsid w:val="00FE4AE8"/>
    <w:rsid w:val="00FF07E9"/>
    <w:rsid w:val="00FF2A37"/>
    <w:rsid w:val="00FF2DB0"/>
    <w:rsid w:val="00FF5696"/>
    <w:rsid w:val="052A1131"/>
    <w:rsid w:val="072756B5"/>
    <w:rsid w:val="0B392BD1"/>
    <w:rsid w:val="0D5A0B23"/>
    <w:rsid w:val="0FDA6871"/>
    <w:rsid w:val="126F6B10"/>
    <w:rsid w:val="153A6AD5"/>
    <w:rsid w:val="159623D0"/>
    <w:rsid w:val="192F3A98"/>
    <w:rsid w:val="196F3D7E"/>
    <w:rsid w:val="1E521E45"/>
    <w:rsid w:val="25863A51"/>
    <w:rsid w:val="2A475312"/>
    <w:rsid w:val="35D677B4"/>
    <w:rsid w:val="3C0954CB"/>
    <w:rsid w:val="42451717"/>
    <w:rsid w:val="44EF01D1"/>
    <w:rsid w:val="45B95E64"/>
    <w:rsid w:val="5AE64651"/>
    <w:rsid w:val="60DA3593"/>
    <w:rsid w:val="65121E6F"/>
    <w:rsid w:val="669677F7"/>
    <w:rsid w:val="66C719B5"/>
    <w:rsid w:val="67342D7A"/>
    <w:rsid w:val="683B3CA4"/>
    <w:rsid w:val="6B0F740F"/>
    <w:rsid w:val="6CEA40C7"/>
    <w:rsid w:val="75EC52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semiHidden/>
    <w:qFormat/>
    <w:uiPriority w:val="0"/>
    <w:rPr>
      <w:sz w:val="18"/>
      <w:szCs w:val="18"/>
    </w:rPr>
  </w:style>
  <w:style w:type="paragraph" w:styleId="3">
    <w:name w:val="footer"/>
    <w:basedOn w:val="1"/>
    <w:link w:val="12"/>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11"/>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unhideWhenUsed/>
    <w:qFormat/>
    <w:uiPriority w:val="99"/>
    <w:pPr>
      <w:widowControl/>
      <w:jc w:val="left"/>
    </w:pPr>
    <w:rPr>
      <w:rFonts w:ascii="宋体" w:hAnsi="宋体" w:cs="宋体"/>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9">
    <w:name w:val="page number"/>
    <w:basedOn w:val="8"/>
    <w:uiPriority w:val="0"/>
  </w:style>
  <w:style w:type="character" w:styleId="10">
    <w:name w:val="Hyperlink"/>
    <w:basedOn w:val="8"/>
    <w:unhideWhenUsed/>
    <w:qFormat/>
    <w:uiPriority w:val="99"/>
    <w:rPr>
      <w:color w:val="0000FF" w:themeColor="hyperlink"/>
      <w:u w:val="single"/>
    </w:rPr>
  </w:style>
  <w:style w:type="character" w:customStyle="1" w:styleId="11">
    <w:name w:val="页眉 字符"/>
    <w:basedOn w:val="8"/>
    <w:link w:val="4"/>
    <w:qFormat/>
    <w:uiPriority w:val="0"/>
    <w:rPr>
      <w:sz w:val="18"/>
      <w:szCs w:val="18"/>
    </w:rPr>
  </w:style>
  <w:style w:type="character" w:customStyle="1" w:styleId="12">
    <w:name w:val="页脚 字符"/>
    <w:basedOn w:val="8"/>
    <w:link w:val="3"/>
    <w:qFormat/>
    <w:uiPriority w:val="99"/>
    <w:rPr>
      <w:sz w:val="18"/>
      <w:szCs w:val="18"/>
    </w:rPr>
  </w:style>
  <w:style w:type="paragraph" w:styleId="13">
    <w:name w:val="List Paragraph"/>
    <w:basedOn w:val="1"/>
    <w:unhideWhenUsed/>
    <w:qFormat/>
    <w:uiPriority w:val="99"/>
    <w:pPr>
      <w:ind w:firstLine="420" w:firstLineChars="200"/>
    </w:pPr>
  </w:style>
  <w:style w:type="paragraph" w:customStyle="1" w:styleId="14">
    <w:name w:val="Char1"/>
    <w:basedOn w:val="1"/>
    <w:qFormat/>
    <w:uiPriority w:val="0"/>
    <w:pPr>
      <w:widowControl/>
      <w:spacing w:after="160" w:line="240" w:lineRule="exact"/>
      <w:jc w:val="left"/>
    </w:pPr>
    <w:rPr>
      <w:rFonts w:ascii="Verdana" w:hAnsi="Verdana" w:eastAsia="仿宋_GB2312" w:cs="Verdana"/>
      <w:kern w:val="0"/>
      <w:sz w:val="24"/>
      <w:szCs w:val="32"/>
      <w:lang w:eastAsia="en-US"/>
    </w:rPr>
  </w:style>
  <w:style w:type="character" w:customStyle="1" w:styleId="15">
    <w:name w:val="批注框文本 字符"/>
    <w:basedOn w:val="8"/>
    <w:link w:val="2"/>
    <w:semiHidden/>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16</Pages>
  <Words>1235</Words>
  <Characters>7040</Characters>
  <Lines>58</Lines>
  <Paragraphs>16</Paragraphs>
  <TotalTime>235</TotalTime>
  <ScaleCrop>false</ScaleCrop>
  <LinksUpToDate>false</LinksUpToDate>
  <CharactersWithSpaces>8259</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2019-04-16T08:02:00Z</dcterms:created>
  <dc:creator>刘晓思</dc:creator>
  <cp:lastModifiedBy>Administrator</cp:lastModifiedBy>
  <cp:lastPrinted>2019-08-20T07:09:00Z</cp:lastPrinted>
  <dcterms:modified xsi:type="dcterms:W3CDTF">2019-08-30T08:47:34Z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