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left"/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2：</w:t>
      </w:r>
    </w:p>
    <w:p>
      <w:pPr>
        <w:spacing w:line="584" w:lineRule="exact"/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十堰市张湾区事业单位公开招聘工作人员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专业</w:t>
      </w: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区事业单位公开招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参考使用。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专业设置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的情况说明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）专业按照大类所列专业进行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报名和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）设置具体专业的职位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需求是严格按用人单位要求确定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，考生严格按照一一对应的原则报考，超出所列具体专业之外的其他专业不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（三）本表是根椐单位所需专业设置，与国家相关专业设置无关。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</w:rPr>
        <w:t>公  共  职  位</w:t>
      </w:r>
    </w:p>
    <w:tbl>
      <w:tblPr>
        <w:tblStyle w:val="9"/>
        <w:tblW w:w="1251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789"/>
        <w:gridCol w:w="3765"/>
        <w:gridCol w:w="35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403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专业类</w:t>
            </w:r>
          </w:p>
        </w:tc>
        <w:tc>
          <w:tcPr>
            <w:tcW w:w="11109" w:type="dxa"/>
            <w:gridSpan w:val="3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专      业      名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1403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21"/>
                <w:szCs w:val="21"/>
              </w:rPr>
            </w:pPr>
          </w:p>
        </w:tc>
        <w:tc>
          <w:tcPr>
            <w:tcW w:w="378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376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35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140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中国语言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文学类</w:t>
            </w:r>
          </w:p>
        </w:tc>
        <w:tc>
          <w:tcPr>
            <w:tcW w:w="378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文艺学，语言学及应用语言学，汉语言文字学，中国古典文献学，中国古代文学，中国现当代文学，文学阅读与文学教育，比较文学与世界文学，经济秘书，中国少数民族语言文学</w:t>
            </w:r>
          </w:p>
        </w:tc>
        <w:tc>
          <w:tcPr>
            <w:tcW w:w="376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汉语言文学，汉语言，汉语国际教育，对外汉语，语言学，编辑学，汉语言文学教育，古典文献学，中国语言文化，中国语言文学，中文应用，华文教育，应用语言学，古典文献，文学，中国文学，汉语言文学与文化传播，秘书学，文秘，文秘学，中文秘书教育，现代秘书，经济秘书，中国学，医学文秘，涉外秘书，中国少数民族语言文学，藏语言文学，蒙古语言文学，维吾尔语言文学，朝鲜语言文学，哈萨克语言文学，少数民族语言文学教育</w:t>
            </w:r>
          </w:p>
        </w:tc>
        <w:tc>
          <w:tcPr>
            <w:tcW w:w="35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汉语，文秘，涉外文秘，秘书学，文秘档案，中文，汉语言文学，经贸文秘，经济秘书，现代文员，医学文秘，公共关系与文秘，公关文秘，汉语言文学教育，现代文秘与公共关系，中国少数民族语言文化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140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378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法律硕士，军事法学，航空法与空间法，国际人权法，国际环境法，国际民事诉讼与仲裁，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WTO</w:t>
            </w: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法律制度，中国司法制度，比较司法制度，比较刑法学，司法制度，法律逻辑，知识产权，知识产权法学，民族法学</w:t>
            </w:r>
          </w:p>
        </w:tc>
        <w:tc>
          <w:tcPr>
            <w:tcW w:w="376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35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40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378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会计学，审计理论研究，政府审计理论与实务，内部控制与内部审计，独立审计与实务，审计学，财务管理，会计硕士专业，审计</w:t>
            </w:r>
          </w:p>
        </w:tc>
        <w:tc>
          <w:tcPr>
            <w:tcW w:w="376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财务会计教育，会计统计，资产评估，</w:t>
            </w:r>
          </w:p>
        </w:tc>
        <w:tc>
          <w:tcPr>
            <w:tcW w:w="35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140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管理科学与工程类</w:t>
            </w:r>
          </w:p>
        </w:tc>
        <w:tc>
          <w:tcPr>
            <w:tcW w:w="378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管理科学与工程，项目管理等工程硕士专业，营运与供应链管理，工程管理硕士专业</w:t>
            </w:r>
          </w:p>
        </w:tc>
        <w:tc>
          <w:tcPr>
            <w:tcW w:w="376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管理科学，信息管理与信息系统，工程管理，工程造价，工程造价管理，产品质量工程，项目管理，管理科学工程，管理科学与工程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控制科学与工程，信息管理工程</w:t>
            </w:r>
          </w:p>
        </w:tc>
        <w:tc>
          <w:tcPr>
            <w:tcW w:w="35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工程造价管理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40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公共管理类</w:t>
            </w:r>
          </w:p>
        </w:tc>
        <w:tc>
          <w:tcPr>
            <w:tcW w:w="378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行政管理，公共政策学，公共管理硕士专业，人力资源管理</w:t>
            </w:r>
          </w:p>
        </w:tc>
        <w:tc>
          <w:tcPr>
            <w:tcW w:w="376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行政管理，行政管理学，公共事业管理，公共关系学，公共关系，高等教育管理，公共政策学，公共管理，人力资源管理，</w:t>
            </w:r>
          </w:p>
        </w:tc>
        <w:tc>
          <w:tcPr>
            <w:tcW w:w="3555" w:type="dxa"/>
            <w:tcBorders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kern w:val="0"/>
                <w:sz w:val="21"/>
                <w:szCs w:val="21"/>
              </w:rPr>
              <w:t>公共事务管理，行政管理，市政管理，乡镇管理，机关管理及办公自动化，土地管理，城市管理与监察，公共关系，人力资源管理</w:t>
            </w:r>
          </w:p>
        </w:tc>
      </w:tr>
    </w:tbl>
    <w:p>
      <w:pPr>
        <w:spacing w:after="204" w:afterLines="50"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 w:cs="黑体"/>
          <w:color w:val="000000"/>
          <w:sz w:val="40"/>
          <w:szCs w:val="40"/>
        </w:rPr>
        <w:t>其  他  职  位</w:t>
      </w:r>
    </w:p>
    <w:tbl>
      <w:tblPr>
        <w:tblStyle w:val="9"/>
        <w:tblW w:w="125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3681"/>
        <w:gridCol w:w="4049"/>
        <w:gridCol w:w="33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tblHeader/>
          <w:jc w:val="center"/>
        </w:trPr>
        <w:tc>
          <w:tcPr>
            <w:tcW w:w="1493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</w:rPr>
              <w:t>专业类</w:t>
            </w:r>
          </w:p>
        </w:tc>
        <w:tc>
          <w:tcPr>
            <w:tcW w:w="11047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</w:rPr>
              <w:t>专        业        名  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1493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04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3317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149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经济学类</w:t>
            </w:r>
          </w:p>
        </w:tc>
        <w:tc>
          <w:tcPr>
            <w:tcW w:w="368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</w:t>
            </w:r>
          </w:p>
        </w:tc>
        <w:tc>
          <w:tcPr>
            <w:tcW w:w="404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经济学，经济统计学，国民经济管理，资源与环境经济学，商务经济学，能源经济，海洋经济学，统计学，环境经济，环境资源与发展经济学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3317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经济管理，经济信息管理，资产评估管理，邮电经济管理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49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财政学类</w:t>
            </w:r>
          </w:p>
        </w:tc>
        <w:tc>
          <w:tcPr>
            <w:tcW w:w="368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财政学，税收学，税务</w:t>
            </w:r>
          </w:p>
        </w:tc>
        <w:tc>
          <w:tcPr>
            <w:tcW w:w="404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财税，财政学，税收学，税务</w:t>
            </w:r>
          </w:p>
        </w:tc>
        <w:tc>
          <w:tcPr>
            <w:tcW w:w="3317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财政，税务，财税，财政与税收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49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测绘类</w:t>
            </w:r>
          </w:p>
        </w:tc>
        <w:tc>
          <w:tcPr>
            <w:tcW w:w="368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20" w:lineRule="exact"/>
              <w:rPr>
                <w:rFonts w:hint="eastAsia" w:ascii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0"/>
                <w:szCs w:val="20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404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20" w:lineRule="exact"/>
              <w:rPr>
                <w:rFonts w:hint="eastAsia" w:ascii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0"/>
                <w:szCs w:val="20"/>
              </w:rPr>
              <w:t>测绘工程，遥感科学与技术，大地测量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cs="仿宋_GB2312"/>
                <w:color w:val="000000"/>
                <w:kern w:val="0"/>
                <w:sz w:val="20"/>
                <w:szCs w:val="20"/>
              </w:rPr>
              <w:t>，测量工程，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cs="仿宋_GB2312"/>
                <w:color w:val="000000"/>
                <w:kern w:val="0"/>
                <w:sz w:val="20"/>
                <w:szCs w:val="20"/>
              </w:rPr>
              <w:t>摄影测量与遥感，地图学，土地资源利用与信息技术</w:t>
            </w:r>
          </w:p>
        </w:tc>
        <w:tc>
          <w:tcPr>
            <w:tcW w:w="3317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20" w:lineRule="exact"/>
              <w:rPr>
                <w:rFonts w:hint="eastAsia" w:ascii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0"/>
                <w:szCs w:val="20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49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地理科学类</w:t>
            </w:r>
          </w:p>
        </w:tc>
        <w:tc>
          <w:tcPr>
            <w:tcW w:w="368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20" w:lineRule="exact"/>
              <w:rPr>
                <w:rFonts w:hint="eastAsia" w:ascii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0"/>
                <w:szCs w:val="20"/>
              </w:rPr>
              <w:t>地理，地理学，自然地理学，人文地理学，地图学与地理信息系统</w:t>
            </w:r>
          </w:p>
        </w:tc>
        <w:tc>
          <w:tcPr>
            <w:tcW w:w="404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20" w:lineRule="exact"/>
              <w:rPr>
                <w:rFonts w:hint="eastAsia" w:ascii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0"/>
                <w:szCs w:val="20"/>
              </w:rPr>
              <w:t>地理科学，地理信息科学，资源环境与城乡规划管理，地理信息系统，地球信息科学与技术，自然地理与资源环境，人文地理与城乡规划，地理学，资源环境区划与管理，经济地理学与城乡区域规划，地理信息系统与地图学，地理学教育</w:t>
            </w:r>
          </w:p>
        </w:tc>
        <w:tc>
          <w:tcPr>
            <w:tcW w:w="3317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20" w:lineRule="exact"/>
              <w:rPr>
                <w:rFonts w:hint="eastAsia" w:ascii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5" w:hRule="atLeast"/>
          <w:jc w:val="center"/>
        </w:trPr>
        <w:tc>
          <w:tcPr>
            <w:tcW w:w="149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土木类</w:t>
            </w:r>
          </w:p>
        </w:tc>
        <w:tc>
          <w:tcPr>
            <w:tcW w:w="368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</w:p>
        </w:tc>
        <w:tc>
          <w:tcPr>
            <w:tcW w:w="404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土木工程，建筑环境与设备工程，建筑环境与能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，供热通风与空调工程，城市燃气工程，工业与民用建筑，建筑工程教育，建筑节能技术与工程，建筑工程管理，给排水与采暖通风工程</w:t>
            </w:r>
          </w:p>
        </w:tc>
        <w:tc>
          <w:tcPr>
            <w:tcW w:w="3317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/>
                <w:color w:val="00000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spacing w:val="-4"/>
                <w:kern w:val="0"/>
                <w:sz w:val="21"/>
                <w:szCs w:val="21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149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水利类</w:t>
            </w:r>
          </w:p>
        </w:tc>
        <w:tc>
          <w:tcPr>
            <w:tcW w:w="368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水文学与水资源，水力学及河流动力学，水工结构工程，水利水电工程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，港口、海岸及近海工程，水利工程</w:t>
            </w:r>
          </w:p>
        </w:tc>
        <w:tc>
          <w:tcPr>
            <w:tcW w:w="404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3317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仿宋_GB2312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spacing w:val="-6"/>
                <w:kern w:val="0"/>
                <w:sz w:val="21"/>
                <w:szCs w:val="21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49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环境科学与工程类</w:t>
            </w:r>
          </w:p>
        </w:tc>
        <w:tc>
          <w:tcPr>
            <w:tcW w:w="368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404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3317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49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自然保护与环境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生态类</w:t>
            </w:r>
          </w:p>
        </w:tc>
        <w:tc>
          <w:tcPr>
            <w:tcW w:w="368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环境科学与工程，环境科学，环境工程，水土保持与荒漠化防治</w:t>
            </w:r>
          </w:p>
        </w:tc>
        <w:tc>
          <w:tcPr>
            <w:tcW w:w="404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农业资源与环境，野生动物与自然保护区管理，水土保持与荒漠化防治，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植物资源工程，水土保持，沙漠治理</w:t>
            </w:r>
          </w:p>
        </w:tc>
        <w:tc>
          <w:tcPr>
            <w:tcW w:w="3317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野生植物资源开发与利用，野生动物保护，自然保护区建设与管理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49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林学类</w:t>
            </w:r>
          </w:p>
        </w:tc>
        <w:tc>
          <w:tcPr>
            <w:tcW w:w="368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林木遗传育种，森林培育，森林保护学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森林经理学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野生动植物保护与利用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园林植物与观赏园艺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林业，风景园林，林业硕士专业</w:t>
            </w:r>
          </w:p>
        </w:tc>
        <w:tc>
          <w:tcPr>
            <w:tcW w:w="404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林学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森林保护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森林资源保护与游憩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经济林，风景园林，园林，园林工程，林木生产教育，林学教育，森林资源管理与经济林方向</w:t>
            </w:r>
          </w:p>
        </w:tc>
        <w:tc>
          <w:tcPr>
            <w:tcW w:w="3317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49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公共卫生与预防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医学类</w:t>
            </w:r>
          </w:p>
        </w:tc>
        <w:tc>
          <w:tcPr>
            <w:tcW w:w="368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404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预防医学，卫生检验与检疫，妇幼保健医学，营养与食品卫生，卫生检验，营养学，食品营养与检验教育，食品卫生与营养学，营养、食品与健康，卫生监督，全球健康学</w:t>
            </w:r>
          </w:p>
        </w:tc>
        <w:tc>
          <w:tcPr>
            <w:tcW w:w="3317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医学营养，卫生检验与检疫技术</w:t>
            </w:r>
          </w:p>
        </w:tc>
      </w:tr>
    </w:tbl>
    <w:p>
      <w:pPr>
        <w:ind w:firstLine="600" w:firstLineChars="200"/>
        <w:jc w:val="left"/>
        <w:rPr>
          <w:rFonts w:hint="eastAsia" w:ascii="仿宋_GB2312"/>
          <w:color w:val="000000"/>
        </w:rPr>
      </w:pPr>
    </w:p>
    <w:p>
      <w:pPr>
        <w:ind w:firstLine="600" w:firstLineChars="200"/>
        <w:jc w:val="left"/>
        <w:rPr>
          <w:rFonts w:hint="eastAsia" w:ascii="仿宋_GB2312"/>
          <w:color w:val="000000"/>
        </w:rPr>
      </w:pPr>
    </w:p>
    <w:p>
      <w:pPr>
        <w:ind w:firstLine="600" w:firstLineChars="200"/>
        <w:jc w:val="left"/>
        <w:rPr>
          <w:rFonts w:hint="eastAsia" w:ascii="仿宋_GB2312"/>
          <w:color w:val="000000"/>
        </w:rPr>
        <w:sectPr>
          <w:footerReference r:id="rId3" w:type="default"/>
          <w:pgSz w:w="16838" w:h="11906" w:orient="landscape"/>
          <w:pgMar w:top="1701" w:right="1701" w:bottom="1701" w:left="1701" w:header="851" w:footer="1418" w:gutter="0"/>
          <w:cols w:space="720" w:num="1"/>
          <w:docGrid w:type="linesAndChars" w:linePitch="408" w:charSpace="0"/>
        </w:sectPr>
      </w:pPr>
    </w:p>
    <w:p>
      <w:pPr>
        <w:jc w:val="left"/>
        <w:rPr>
          <w:color w:val="000000"/>
        </w:rPr>
      </w:pPr>
      <w:r>
        <w:rPr>
          <w:color w:val="000000"/>
        </w:rPr>
        <w:t>附件7</w:t>
      </w:r>
    </w:p>
    <w:p>
      <w:pPr>
        <w:tabs>
          <w:tab w:val="left" w:pos="4032"/>
        </w:tabs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 w:cs="方正小标宋简体"/>
          <w:color w:val="000000"/>
          <w:sz w:val="40"/>
          <w:szCs w:val="40"/>
        </w:rPr>
        <w:t>《职位计划表》填报说明</w:t>
      </w:r>
    </w:p>
    <w:p>
      <w:pPr>
        <w:tabs>
          <w:tab w:val="left" w:pos="4032"/>
        </w:tabs>
        <w:ind w:firstLine="606" w:firstLineChars="200"/>
        <w:rPr>
          <w:rFonts w:hint="eastAsia" w:ascii="仿宋_GB2312"/>
          <w:color w:val="000000"/>
        </w:rPr>
      </w:pPr>
    </w:p>
    <w:p>
      <w:pPr>
        <w:tabs>
          <w:tab w:val="left" w:pos="4032"/>
        </w:tabs>
        <w:ind w:firstLine="606" w:firstLineChars="200"/>
        <w:rPr>
          <w:rFonts w:hint="eastAsia" w:ascii="仿宋_GB2312"/>
        </w:rPr>
      </w:pPr>
      <w:r>
        <w:rPr>
          <w:rFonts w:hint="eastAsia" w:ascii="仿宋_GB2312"/>
        </w:rPr>
        <w:t>一、关于“机构层级”，请对应“省级、市（州）级、县（市、区）级、乡镇（街道）级”分别填写。</w:t>
      </w:r>
    </w:p>
    <w:p>
      <w:pPr>
        <w:tabs>
          <w:tab w:val="left" w:pos="4032"/>
        </w:tabs>
        <w:ind w:firstLine="606" w:firstLineChars="200"/>
        <w:rPr>
          <w:rFonts w:hint="eastAsia" w:ascii="仿宋_GB2312"/>
        </w:rPr>
      </w:pPr>
      <w:r>
        <w:rPr>
          <w:rFonts w:hint="eastAsia" w:ascii="仿宋_GB2312"/>
        </w:rPr>
        <w:t>二、关于“招录职位”，请注明用人处（科）室，例如：用人部门为“办公室”，职位名称填写为“办公室科员”。</w:t>
      </w:r>
    </w:p>
    <w:p>
      <w:pPr>
        <w:tabs>
          <w:tab w:val="left" w:pos="4032"/>
        </w:tabs>
        <w:ind w:firstLine="606" w:firstLineChars="200"/>
        <w:rPr>
          <w:rFonts w:hint="eastAsia" w:ascii="仿宋_GB2312"/>
        </w:rPr>
      </w:pPr>
      <w:r>
        <w:rPr>
          <w:rFonts w:hint="eastAsia" w:ascii="仿宋_GB2312"/>
        </w:rPr>
        <w:t>三、关于“职位简介”，应当对职位工作内容进行详细描述，如“负责开展纳税审计、评估、查办反避税案件、受理预约定价事宜等工作”。</w:t>
      </w:r>
    </w:p>
    <w:p>
      <w:pPr>
        <w:tabs>
          <w:tab w:val="left" w:pos="4032"/>
        </w:tabs>
        <w:ind w:firstLine="606" w:firstLineChars="200"/>
        <w:rPr>
          <w:rFonts w:hint="eastAsia" w:ascii="仿宋_GB2312"/>
        </w:rPr>
      </w:pPr>
      <w:r>
        <w:rPr>
          <w:rFonts w:hint="eastAsia" w:ascii="仿宋_GB2312"/>
        </w:rPr>
        <w:t>四、关于“基层工作年限要求”，按照“两年及以上”或者“不限制”填写。</w:t>
      </w:r>
    </w:p>
    <w:p>
      <w:pPr>
        <w:tabs>
          <w:tab w:val="left" w:pos="4032"/>
        </w:tabs>
        <w:ind w:firstLine="606" w:firstLineChars="200"/>
      </w:pPr>
      <w:r>
        <w:t>五、关</w:t>
      </w:r>
      <w:r>
        <w:rPr>
          <w:rFonts w:hint="eastAsia" w:ascii="仿宋_GB2312"/>
        </w:rPr>
        <w:t>于“二年基层工作经历要求”，对基层工作年限不限制的，则不填写此栏。“其他具有两年基层工作经历人员”是指除“四项目”人员及退役大学毕业生士兵、社区干部以外的其他具有两年基层工作经历的人员，在“基层工作年限要求”栏选择了“两年及以上”的职位，则对应选择服务期满并考核合格的“四项目”人</w:t>
      </w:r>
      <w:r>
        <w:t>员及退役大学毕业生士兵、现任且任职满3年以上</w:t>
      </w:r>
      <w:r>
        <w:rPr>
          <w:rFonts w:hint="eastAsia" w:ascii="仿宋_GB2312"/>
        </w:rPr>
        <w:t>社区“两委”班子成员、其他具有两年基层工作经历人员”中的一项，填写“是”和“否”，三</w:t>
      </w:r>
      <w:r>
        <w:t>个选项不能重复选择。</w:t>
      </w:r>
    </w:p>
    <w:p>
      <w:pPr>
        <w:tabs>
          <w:tab w:val="left" w:pos="4032"/>
        </w:tabs>
        <w:ind w:firstLine="606" w:firstLineChars="200"/>
      </w:pPr>
      <w:r>
        <w:t>六、关</w:t>
      </w:r>
      <w:r>
        <w:rPr>
          <w:rFonts w:hint="eastAsia" w:ascii="仿宋_GB2312"/>
        </w:rPr>
        <w:t>于“学历要求”，招录机关应根据职位实际条件准确界定学历需求，尤其避免人才高消费现象，须对应“大专（仅限大专）、大专及以上、大专或本科、本科（仅限本科）、本科及以上、本科或研究生（硕士）、研究生（仅限硕士）、研究生（硕士）及以上、研究生（仅限博士）”分别填写。如选择“大专（仅限大专）”，则意味职位仅招录最高学历为大专的人员，本科及其他学历人员不能报考，填写“大专或本科、本科（仅限本科）、本科或研究生（硕士）、研究生（仅限硕士）、研究生（仅限博士）”的依此类推。除武陵山、大别山、秦巴山、幕阜山试验区内所属县（市），以及国贫、省贫县（市）艰苦边远地区乡镇基层公务员岗位和定向从村（社区）干部中考录乡镇（街道）公务员的职位学历可放宽到高</w:t>
      </w:r>
      <w:r>
        <w:t>中、技工学校、中专及以上外，其他职位不得选择。</w:t>
      </w:r>
    </w:p>
    <w:p>
      <w:pPr>
        <w:tabs>
          <w:tab w:val="left" w:pos="4032"/>
        </w:tabs>
        <w:ind w:firstLine="606" w:firstLineChars="200"/>
      </w:pPr>
      <w:r>
        <w:t>七、关</w:t>
      </w:r>
      <w:r>
        <w:rPr>
          <w:rFonts w:hint="eastAsia" w:ascii="仿宋_GB2312"/>
        </w:rPr>
        <w:t>于“学位要求”，须对应“无要求、学士、学士及以上、学士或硕士、硕士、硕士及以上、博士”分别填写。</w:t>
      </w:r>
    </w:p>
    <w:p>
      <w:pPr>
        <w:tabs>
          <w:tab w:val="left" w:pos="4032"/>
        </w:tabs>
        <w:ind w:firstLine="606" w:firstLineChars="200"/>
      </w:pPr>
      <w:r>
        <w:t>八、关于性别、户籍要求，须符合招录职位资格条件的设置有关规定要求。</w:t>
      </w:r>
    </w:p>
    <w:p>
      <w:pPr>
        <w:ind w:firstLine="606" w:firstLineChars="200"/>
      </w:pPr>
      <w:r>
        <w:t>九、关于考察比例的设置，除定向从村（社区）干部中考录乡镇（街道）公务员的职位必须设定为</w:t>
      </w:r>
      <w:r>
        <w:rPr>
          <w:rFonts w:hint="eastAsia" w:ascii="仿宋_GB2312"/>
        </w:rPr>
        <w:t>“</w:t>
      </w:r>
      <w:r>
        <w:t>1</w:t>
      </w:r>
      <w:r>
        <w:rPr>
          <w:rFonts w:hint="eastAsia"/>
        </w:rPr>
        <w:t>∶</w:t>
      </w:r>
      <w:r>
        <w:t>1.5</w:t>
      </w:r>
      <w:r>
        <w:rPr>
          <w:rFonts w:hint="eastAsia" w:ascii="仿宋_GB2312"/>
        </w:rPr>
        <w:t>”</w:t>
      </w:r>
      <w:r>
        <w:t>比例外，省直单位可结合本部门考录工作实际需要，设置</w:t>
      </w:r>
      <w:r>
        <w:rPr>
          <w:rFonts w:hint="eastAsia" w:ascii="仿宋_GB2312"/>
        </w:rPr>
        <w:t>为“</w:t>
      </w:r>
      <w:r>
        <w:t>1</w:t>
      </w:r>
      <w:r>
        <w:rPr>
          <w:rFonts w:hint="eastAsia"/>
        </w:rPr>
        <w:t>∶</w:t>
      </w:r>
      <w:r>
        <w:t>1.5</w:t>
      </w:r>
      <w:r>
        <w:rPr>
          <w:rFonts w:hint="eastAsia" w:ascii="仿宋_GB2312"/>
        </w:rPr>
        <w:t>”比</w:t>
      </w:r>
      <w:r>
        <w:t>例。</w:t>
      </w:r>
    </w:p>
    <w:sectPr>
      <w:footerReference r:id="rId4" w:type="default"/>
      <w:pgSz w:w="11906" w:h="16838"/>
      <w:pgMar w:top="2155" w:right="1701" w:bottom="1814" w:left="1701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28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52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F6"/>
    <w:rsid w:val="000209BF"/>
    <w:rsid w:val="00023C41"/>
    <w:rsid w:val="00025C66"/>
    <w:rsid w:val="00050D60"/>
    <w:rsid w:val="000542DB"/>
    <w:rsid w:val="00054BA3"/>
    <w:rsid w:val="00062881"/>
    <w:rsid w:val="00065A22"/>
    <w:rsid w:val="00070D23"/>
    <w:rsid w:val="00071B16"/>
    <w:rsid w:val="00082057"/>
    <w:rsid w:val="00085E91"/>
    <w:rsid w:val="00095294"/>
    <w:rsid w:val="000B2B68"/>
    <w:rsid w:val="000F54E9"/>
    <w:rsid w:val="001013F0"/>
    <w:rsid w:val="0012075B"/>
    <w:rsid w:val="001322D5"/>
    <w:rsid w:val="0014473C"/>
    <w:rsid w:val="00145BDB"/>
    <w:rsid w:val="001509AF"/>
    <w:rsid w:val="001529E9"/>
    <w:rsid w:val="0016329A"/>
    <w:rsid w:val="00170DE0"/>
    <w:rsid w:val="00172095"/>
    <w:rsid w:val="001B1E50"/>
    <w:rsid w:val="001C06C6"/>
    <w:rsid w:val="001C5D35"/>
    <w:rsid w:val="001D068F"/>
    <w:rsid w:val="001E1DF8"/>
    <w:rsid w:val="001E6B5A"/>
    <w:rsid w:val="001F16E6"/>
    <w:rsid w:val="001F3EAB"/>
    <w:rsid w:val="001F7C36"/>
    <w:rsid w:val="002157D4"/>
    <w:rsid w:val="00253F47"/>
    <w:rsid w:val="00254E80"/>
    <w:rsid w:val="00267686"/>
    <w:rsid w:val="00277B95"/>
    <w:rsid w:val="002845CF"/>
    <w:rsid w:val="00286613"/>
    <w:rsid w:val="002D5C99"/>
    <w:rsid w:val="002E4414"/>
    <w:rsid w:val="002E625A"/>
    <w:rsid w:val="00316B29"/>
    <w:rsid w:val="003326EB"/>
    <w:rsid w:val="00334BFC"/>
    <w:rsid w:val="003471DD"/>
    <w:rsid w:val="00350CBC"/>
    <w:rsid w:val="00351872"/>
    <w:rsid w:val="00355A6F"/>
    <w:rsid w:val="00365441"/>
    <w:rsid w:val="003654E9"/>
    <w:rsid w:val="00387E49"/>
    <w:rsid w:val="003A7107"/>
    <w:rsid w:val="003C3E64"/>
    <w:rsid w:val="003E0DA0"/>
    <w:rsid w:val="004018E1"/>
    <w:rsid w:val="00401AFC"/>
    <w:rsid w:val="004322C1"/>
    <w:rsid w:val="004368BB"/>
    <w:rsid w:val="00453D9D"/>
    <w:rsid w:val="00460D9C"/>
    <w:rsid w:val="00461453"/>
    <w:rsid w:val="00467CA6"/>
    <w:rsid w:val="0047140E"/>
    <w:rsid w:val="00473E12"/>
    <w:rsid w:val="004807B0"/>
    <w:rsid w:val="004822E4"/>
    <w:rsid w:val="00491169"/>
    <w:rsid w:val="00491F6B"/>
    <w:rsid w:val="004A431F"/>
    <w:rsid w:val="004B1C1C"/>
    <w:rsid w:val="004C648C"/>
    <w:rsid w:val="004C74E0"/>
    <w:rsid w:val="004D19BA"/>
    <w:rsid w:val="004D1CF7"/>
    <w:rsid w:val="004D5560"/>
    <w:rsid w:val="004F3A2B"/>
    <w:rsid w:val="005052B0"/>
    <w:rsid w:val="005072A8"/>
    <w:rsid w:val="00507A55"/>
    <w:rsid w:val="005136D0"/>
    <w:rsid w:val="005177A1"/>
    <w:rsid w:val="00527377"/>
    <w:rsid w:val="00547D28"/>
    <w:rsid w:val="0055209D"/>
    <w:rsid w:val="005559FD"/>
    <w:rsid w:val="005614FC"/>
    <w:rsid w:val="005855ED"/>
    <w:rsid w:val="005866DE"/>
    <w:rsid w:val="005C69D7"/>
    <w:rsid w:val="005D165D"/>
    <w:rsid w:val="005D5EC4"/>
    <w:rsid w:val="005E79A4"/>
    <w:rsid w:val="0060209D"/>
    <w:rsid w:val="006104A6"/>
    <w:rsid w:val="006239FE"/>
    <w:rsid w:val="006249B3"/>
    <w:rsid w:val="00660860"/>
    <w:rsid w:val="0066093D"/>
    <w:rsid w:val="006853EF"/>
    <w:rsid w:val="00692459"/>
    <w:rsid w:val="006A2457"/>
    <w:rsid w:val="006A3D44"/>
    <w:rsid w:val="006B5E4E"/>
    <w:rsid w:val="006C5E06"/>
    <w:rsid w:val="006E379E"/>
    <w:rsid w:val="006E3F39"/>
    <w:rsid w:val="006E6B43"/>
    <w:rsid w:val="006E6D16"/>
    <w:rsid w:val="006F60F0"/>
    <w:rsid w:val="00705A89"/>
    <w:rsid w:val="007105A5"/>
    <w:rsid w:val="007124E0"/>
    <w:rsid w:val="007145C6"/>
    <w:rsid w:val="00745DE1"/>
    <w:rsid w:val="00745FB4"/>
    <w:rsid w:val="00752D07"/>
    <w:rsid w:val="00761C93"/>
    <w:rsid w:val="007742FB"/>
    <w:rsid w:val="00781EA3"/>
    <w:rsid w:val="0078428C"/>
    <w:rsid w:val="00791D62"/>
    <w:rsid w:val="00794BEB"/>
    <w:rsid w:val="007A4E9F"/>
    <w:rsid w:val="007B2191"/>
    <w:rsid w:val="007B5EE0"/>
    <w:rsid w:val="007D04CD"/>
    <w:rsid w:val="007E2237"/>
    <w:rsid w:val="007F5851"/>
    <w:rsid w:val="00815D45"/>
    <w:rsid w:val="008355A0"/>
    <w:rsid w:val="00854391"/>
    <w:rsid w:val="008630FB"/>
    <w:rsid w:val="00870A09"/>
    <w:rsid w:val="00890AE6"/>
    <w:rsid w:val="008922A9"/>
    <w:rsid w:val="008960C6"/>
    <w:rsid w:val="008963A0"/>
    <w:rsid w:val="008B44F6"/>
    <w:rsid w:val="008B6549"/>
    <w:rsid w:val="008F2768"/>
    <w:rsid w:val="009113D7"/>
    <w:rsid w:val="00926206"/>
    <w:rsid w:val="00930E8E"/>
    <w:rsid w:val="0093223E"/>
    <w:rsid w:val="0093301F"/>
    <w:rsid w:val="00944389"/>
    <w:rsid w:val="0096129E"/>
    <w:rsid w:val="00974E95"/>
    <w:rsid w:val="00996B93"/>
    <w:rsid w:val="009A09F8"/>
    <w:rsid w:val="009A371A"/>
    <w:rsid w:val="009A5A2E"/>
    <w:rsid w:val="009C0B76"/>
    <w:rsid w:val="009C1C17"/>
    <w:rsid w:val="009C4344"/>
    <w:rsid w:val="009C57FD"/>
    <w:rsid w:val="009D2FFD"/>
    <w:rsid w:val="009D376D"/>
    <w:rsid w:val="009D4DD8"/>
    <w:rsid w:val="009D4EC9"/>
    <w:rsid w:val="009E2BD6"/>
    <w:rsid w:val="009E2DF3"/>
    <w:rsid w:val="00A039F1"/>
    <w:rsid w:val="00A17010"/>
    <w:rsid w:val="00A2070A"/>
    <w:rsid w:val="00A26DD2"/>
    <w:rsid w:val="00A57C90"/>
    <w:rsid w:val="00A74CF5"/>
    <w:rsid w:val="00A875F5"/>
    <w:rsid w:val="00AA08A1"/>
    <w:rsid w:val="00AB0FBB"/>
    <w:rsid w:val="00AB2773"/>
    <w:rsid w:val="00AC1D7C"/>
    <w:rsid w:val="00AC441C"/>
    <w:rsid w:val="00AC550D"/>
    <w:rsid w:val="00AC67E5"/>
    <w:rsid w:val="00AD380C"/>
    <w:rsid w:val="00AD4F1C"/>
    <w:rsid w:val="00AD59EA"/>
    <w:rsid w:val="00AF1219"/>
    <w:rsid w:val="00AF43DE"/>
    <w:rsid w:val="00AF5A97"/>
    <w:rsid w:val="00B10026"/>
    <w:rsid w:val="00B10EF6"/>
    <w:rsid w:val="00B26400"/>
    <w:rsid w:val="00B264EE"/>
    <w:rsid w:val="00B4292C"/>
    <w:rsid w:val="00B46D8A"/>
    <w:rsid w:val="00B83375"/>
    <w:rsid w:val="00B8769A"/>
    <w:rsid w:val="00BA185F"/>
    <w:rsid w:val="00BB2E30"/>
    <w:rsid w:val="00BB3288"/>
    <w:rsid w:val="00BB39F2"/>
    <w:rsid w:val="00BC449E"/>
    <w:rsid w:val="00BE4344"/>
    <w:rsid w:val="00BE6F48"/>
    <w:rsid w:val="00BF0BDF"/>
    <w:rsid w:val="00BF5EA6"/>
    <w:rsid w:val="00C04C55"/>
    <w:rsid w:val="00C206B9"/>
    <w:rsid w:val="00C20ADA"/>
    <w:rsid w:val="00C304B7"/>
    <w:rsid w:val="00C43557"/>
    <w:rsid w:val="00C47B96"/>
    <w:rsid w:val="00C53F22"/>
    <w:rsid w:val="00C569E5"/>
    <w:rsid w:val="00C625DA"/>
    <w:rsid w:val="00C6621F"/>
    <w:rsid w:val="00C83722"/>
    <w:rsid w:val="00CC0417"/>
    <w:rsid w:val="00CE0D1A"/>
    <w:rsid w:val="00CE37F4"/>
    <w:rsid w:val="00CE440F"/>
    <w:rsid w:val="00CE6EC2"/>
    <w:rsid w:val="00CF5FC3"/>
    <w:rsid w:val="00D0171F"/>
    <w:rsid w:val="00D06097"/>
    <w:rsid w:val="00D21721"/>
    <w:rsid w:val="00D27FBA"/>
    <w:rsid w:val="00D323DC"/>
    <w:rsid w:val="00D51E3F"/>
    <w:rsid w:val="00D73B30"/>
    <w:rsid w:val="00D758FA"/>
    <w:rsid w:val="00D76C10"/>
    <w:rsid w:val="00D83F88"/>
    <w:rsid w:val="00D87014"/>
    <w:rsid w:val="00D949FB"/>
    <w:rsid w:val="00D97B08"/>
    <w:rsid w:val="00DB5029"/>
    <w:rsid w:val="00DC16F8"/>
    <w:rsid w:val="00DD4B96"/>
    <w:rsid w:val="00DE24A0"/>
    <w:rsid w:val="00DE3EE2"/>
    <w:rsid w:val="00E001EF"/>
    <w:rsid w:val="00E01D44"/>
    <w:rsid w:val="00E0450E"/>
    <w:rsid w:val="00E07777"/>
    <w:rsid w:val="00E32FCA"/>
    <w:rsid w:val="00E514E3"/>
    <w:rsid w:val="00E771A4"/>
    <w:rsid w:val="00E95588"/>
    <w:rsid w:val="00EA002F"/>
    <w:rsid w:val="00EA3D56"/>
    <w:rsid w:val="00EA42BE"/>
    <w:rsid w:val="00EC0E77"/>
    <w:rsid w:val="00EC7335"/>
    <w:rsid w:val="00ED203E"/>
    <w:rsid w:val="00ED66E4"/>
    <w:rsid w:val="00EE1FBA"/>
    <w:rsid w:val="00EE666E"/>
    <w:rsid w:val="00EF1E4F"/>
    <w:rsid w:val="00EF64FE"/>
    <w:rsid w:val="00F0020D"/>
    <w:rsid w:val="00F012A7"/>
    <w:rsid w:val="00F053F7"/>
    <w:rsid w:val="00F14C5F"/>
    <w:rsid w:val="00F17580"/>
    <w:rsid w:val="00F443B4"/>
    <w:rsid w:val="00F457DF"/>
    <w:rsid w:val="00F47235"/>
    <w:rsid w:val="00F66796"/>
    <w:rsid w:val="00F751D3"/>
    <w:rsid w:val="00FB0715"/>
    <w:rsid w:val="00FB4432"/>
    <w:rsid w:val="00FC1CDA"/>
    <w:rsid w:val="00FD4DEF"/>
    <w:rsid w:val="02923804"/>
    <w:rsid w:val="13351F25"/>
    <w:rsid w:val="1EA66E42"/>
    <w:rsid w:val="25300944"/>
    <w:rsid w:val="26C47864"/>
    <w:rsid w:val="34FD1B3C"/>
    <w:rsid w:val="39E945D4"/>
    <w:rsid w:val="3C565B1C"/>
    <w:rsid w:val="409E2D0D"/>
    <w:rsid w:val="450D65C0"/>
    <w:rsid w:val="4F867BAA"/>
    <w:rsid w:val="542167FB"/>
    <w:rsid w:val="6758586D"/>
    <w:rsid w:val="6CA35B4F"/>
    <w:rsid w:val="71074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华文仿宋" w:hAnsi="华文仿宋" w:eastAsia="华文仿宋" w:cs="华文仿宋"/>
      <w:kern w:val="0"/>
      <w:sz w:val="32"/>
      <w:szCs w:val="32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10">
    <w:name w:val="无间隔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customStyle="1" w:styleId="11">
    <w:name w:val=" Char Char3"/>
    <w:link w:val="6"/>
    <w:uiPriority w:val="0"/>
    <w:rPr>
      <w:rFonts w:eastAsia="仿宋_GB2312"/>
      <w:kern w:val="2"/>
      <w:sz w:val="18"/>
      <w:szCs w:val="18"/>
    </w:rPr>
  </w:style>
  <w:style w:type="character" w:customStyle="1" w:styleId="12">
    <w:name w:val=" Char Char4"/>
    <w:link w:val="2"/>
    <w:semiHidden/>
    <w:qFormat/>
    <w:locked/>
    <w:uiPriority w:val="0"/>
    <w:rPr>
      <w:rFonts w:ascii="华文仿宋" w:hAnsi="华文仿宋" w:eastAsia="华文仿宋" w:cs="华文仿宋"/>
      <w:sz w:val="32"/>
      <w:szCs w:val="32"/>
      <w:lang w:val="en-US" w:eastAsia="zh-CN" w:bidi="ar-SA"/>
    </w:rPr>
  </w:style>
  <w:style w:type="character" w:customStyle="1" w:styleId="13">
    <w:name w:val=" Char Char2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14">
    <w:name w:val=" Char Char1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5">
    <w:name w:val=" Char Char"/>
    <w:link w:val="3"/>
    <w:qFormat/>
    <w:uiPriority w:val="0"/>
    <w:rPr>
      <w:rFonts w:eastAsia="仿宋_GB2312"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微软科技</Company>
  <Pages>1</Pages>
  <Words>3380</Words>
  <Characters>19270</Characters>
  <Lines>160</Lines>
  <Paragraphs>45</Paragraphs>
  <ScaleCrop>false</ScaleCrop>
  <LinksUpToDate>false</LinksUpToDate>
  <CharactersWithSpaces>22605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2016-01-20T09:08:00Z</dcterms:created>
  <dc:creator>微软</dc:creator>
  <cp:lastModifiedBy>lenovo</cp:lastModifiedBy>
  <cp:lastPrinted>2016-01-20T09:05:00Z</cp:lastPrinted>
  <dcterms:modified xsi:type="dcterms:W3CDTF">2018-02-13T01:07:04Z</dcterms:modified>
  <dc:title>关于申报湖北省2015年度省市县乡公务员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