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附表：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长沙市望城区201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年公开招聘事业单位工作人员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计划表</w:t>
      </w:r>
    </w:p>
    <w:tbl>
      <w:tblPr>
        <w:tblStyle w:val="3"/>
        <w:tblW w:w="13988" w:type="dxa"/>
        <w:tblInd w:w="-4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"/>
        <w:gridCol w:w="1444"/>
        <w:gridCol w:w="855"/>
        <w:gridCol w:w="660"/>
        <w:gridCol w:w="645"/>
        <w:gridCol w:w="675"/>
        <w:gridCol w:w="1320"/>
        <w:gridCol w:w="1696"/>
        <w:gridCol w:w="2069"/>
        <w:gridCol w:w="840"/>
        <w:gridCol w:w="990"/>
        <w:gridCol w:w="24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岗位计划数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招  聘  资  格  条  件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单位经费性质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最低学历(学位)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最低服务年限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区编委办下属电子政务办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综合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中国语言文学类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无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u w:val="none"/>
                <w:lang w:val="en-US" w:eastAsia="zh-CN"/>
              </w:rPr>
              <w:t>计算机科学与技术、软件工程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u w:val="none"/>
                <w:lang w:val="en-US" w:eastAsia="zh-CN"/>
              </w:rPr>
              <w:t>网络工程、信息安全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区国土局下属征拆事务所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征拆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专干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一年征拆相关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征拆一线从事征拆工作，适合男性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区畜牧局下属动物卫生防疫所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动物卫生监督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动物医学、动物药学、动植物检疫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区畜牧局下属街镇动物防疫站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动物 防疫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动物医学、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动物药学、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兽医学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仿宋_GB2312"/>
          <w:b w:val="0"/>
          <w:bCs/>
          <w:color w:val="000000"/>
          <w:sz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tbl>
      <w:tblPr>
        <w:tblStyle w:val="3"/>
        <w:tblW w:w="13988" w:type="dxa"/>
        <w:tblInd w:w="-4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"/>
        <w:gridCol w:w="1444"/>
        <w:gridCol w:w="855"/>
        <w:gridCol w:w="660"/>
        <w:gridCol w:w="645"/>
        <w:gridCol w:w="675"/>
        <w:gridCol w:w="1320"/>
        <w:gridCol w:w="1696"/>
        <w:gridCol w:w="2069"/>
        <w:gridCol w:w="840"/>
        <w:gridCol w:w="990"/>
        <w:gridCol w:w="24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3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乌山中小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企业园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管理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公共管理类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3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土建类、环境与安全类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长沙铜官窑遗址管理处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文博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考古学、文物与博物馆学、文物保护技术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3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多媒体管理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数字媒体技术、数字媒体艺术、软件工程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区文体局下属体育中心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30周岁以下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（体育）运动训练、体育教育、社会体育指导与管理、体育经济与管理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体育事业管理一线工作，适合男性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铜官街道办事处下属事业站所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土建类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综合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不限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靖港镇政府下属事业站所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综合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全日制本科(学士)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不限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5年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拨款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widowControl/>
        <w:spacing w:line="30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注：1、全日制学历指按照国家教育部门关于学历学位的有关规定属于普通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统招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全日制教育的本科、硕士研究生及以上学历或经国家教育部留学服务中心认证的国(境)外属于全日制教育的本科、硕士研究生及以上学历；</w:t>
      </w:r>
    </w:p>
    <w:p>
      <w:pPr>
        <w:widowControl/>
        <w:spacing w:line="300" w:lineRule="exact"/>
        <w:ind w:firstLine="400"/>
        <w:jc w:val="left"/>
        <w:textAlignment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2、报考人员的专业应严格按照毕业证书填写，本次选调条件所涉及专业参照《201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年湖南省考试录用公务员专业指导目录》执行，所学专业已列入《201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年湖南省考试录用公务员专业指导目录》、但未列入选调职位专业的，不符合报考条件；所学专业未列入《201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年湖南省考试录用公务员专业指导目录》的，由望城区人社局认定。</w:t>
      </w:r>
    </w:p>
    <w:p/>
    <w:sectPr>
      <w:pgSz w:w="16838" w:h="11906" w:orient="landscape"/>
      <w:pgMar w:top="1236" w:right="1440" w:bottom="1236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46DD1"/>
    <w:rsid w:val="02CD4614"/>
    <w:rsid w:val="497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2017-12-26T05:59:00Z</dcterms:created>
  <dc:creator>繁够了</dc:creator>
  <cp:lastModifiedBy>繁够了</cp:lastModifiedBy>
  <dcterms:modified xsi:type="dcterms:W3CDTF">2017-12-26T06:04:08Z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