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 w:val="0"/>
        <w:spacing w:before="0" w:after="0" w:line="36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sz w:val="28"/>
          <w:szCs w:val="32"/>
        </w:rPr>
      </w:pPr>
      <w:r>
        <w:rPr>
          <w:rFonts w:hint="default" w:ascii="Times New Roman" w:hAnsi="Times New Roman" w:eastAsia="仿宋" w:cs="Times New Roman"/>
          <w:bCs/>
          <w:sz w:val="28"/>
          <w:szCs w:val="32"/>
        </w:rPr>
        <w:t>附件1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许昌市建设投资有限责任公司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招聘岗位需求表</w:t>
      </w:r>
    </w:p>
    <w:tbl>
      <w:tblPr>
        <w:tblW w:w="14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9"/>
        <w:gridCol w:w="2661"/>
        <w:gridCol w:w="861"/>
        <w:gridCol w:w="9028"/>
        <w:gridCol w:w="1131"/>
      </w:tblGrid>
      <w:tr>
        <w:trPr>
          <w:trHeight w:val="597" w:hRule="atLeast"/>
          <w:jc w:val="center"/>
        </w:trPr>
        <w:tc>
          <w:tcPr>
            <w:tcW w:w="839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岗位序号</w:t>
            </w:r>
          </w:p>
        </w:tc>
        <w:tc>
          <w:tcPr>
            <w:tcW w:w="266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职  位</w:t>
            </w:r>
          </w:p>
        </w:tc>
        <w:tc>
          <w:tcPr>
            <w:tcW w:w="86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9028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任职条件</w:t>
            </w:r>
          </w:p>
        </w:tc>
        <w:tc>
          <w:tcPr>
            <w:tcW w:w="113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rPr>
          <w:trHeight w:val="2108" w:hRule="atLeast"/>
          <w:jc w:val="center"/>
        </w:trPr>
        <w:tc>
          <w:tcPr>
            <w:tcW w:w="839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6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城建公司副总经理</w:t>
            </w:r>
          </w:p>
        </w:tc>
        <w:tc>
          <w:tcPr>
            <w:tcW w:w="86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9028" w:type="dxa"/>
            <w:vAlign w:val="center"/>
          </w:tcPr>
          <w:p>
            <w:pPr>
              <w:widowControl/>
              <w:numPr>
                <w:numId w:val="0"/>
              </w:numPr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（1）本科及以上学历，地产类、房建类专业；</w:t>
            </w:r>
          </w:p>
          <w:p>
            <w:pPr>
              <w:widowControl/>
              <w:numPr>
                <w:numId w:val="0"/>
              </w:numPr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（2）中级工程师及以上专业技术职称；</w:t>
            </w:r>
          </w:p>
          <w:p>
            <w:pPr>
              <w:widowControl/>
              <w:numPr>
                <w:numId w:val="0"/>
              </w:numPr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（3）10年以上开发建设或相近行业工作经验；主持开发过3个及以上20万平方米房地产项目或10万平方米以上公建项目；国内大型房企高管任职经历者优先考虑；</w:t>
            </w:r>
          </w:p>
          <w:p>
            <w:pPr>
              <w:widowControl/>
              <w:numPr>
                <w:numId w:val="0"/>
              </w:numPr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（4）有较强的沟通协调能力，熟悉房地产开发运营全流程工作。</w:t>
            </w:r>
          </w:p>
        </w:tc>
        <w:tc>
          <w:tcPr>
            <w:tcW w:w="113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rPr>
          <w:trHeight w:val="2069" w:hRule="atLeast"/>
          <w:jc w:val="center"/>
        </w:trPr>
        <w:tc>
          <w:tcPr>
            <w:tcW w:w="839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6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投资管理岗</w:t>
            </w:r>
          </w:p>
        </w:tc>
        <w:tc>
          <w:tcPr>
            <w:tcW w:w="86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9028" w:type="dxa"/>
            <w:vAlign w:val="center"/>
          </w:tcPr>
          <w:p>
            <w:pPr>
              <w:widowControl/>
              <w:numPr>
                <w:numId w:val="0"/>
              </w:numPr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（1）本科及以上学历；</w:t>
            </w:r>
          </w:p>
          <w:p>
            <w:pPr>
              <w:widowControl/>
              <w:numPr>
                <w:numId w:val="0"/>
              </w:numPr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（2）从事投融资工作5年以上；具有全流程办理项目投资工作的经验；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br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（3）熟悉投融资政策和法规，有较强的市场分析判断能力、开拓能力、风险控制能力；学习能力强，有较强的文字功底，能独立起草相关业务报告或尽调报告；</w:t>
            </w:r>
          </w:p>
          <w:p>
            <w:pPr>
              <w:widowControl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（4）主持实施过2个以上投资项目（需提供业绩证明材料）。</w:t>
            </w:r>
          </w:p>
        </w:tc>
        <w:tc>
          <w:tcPr>
            <w:tcW w:w="113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1892" w:hRule="atLeast"/>
          <w:jc w:val="center"/>
        </w:trPr>
        <w:tc>
          <w:tcPr>
            <w:tcW w:w="839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6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注册会计岗</w:t>
            </w:r>
          </w:p>
        </w:tc>
        <w:tc>
          <w:tcPr>
            <w:tcW w:w="86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9028" w:type="dxa"/>
            <w:vAlign w:val="center"/>
          </w:tcPr>
          <w:p>
            <w:pPr>
              <w:widowControl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（1）本科及以上学历；</w:t>
            </w:r>
          </w:p>
          <w:p>
            <w:pPr>
              <w:widowControl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（2）会计学、财务管理、审计、税务等相关专业；</w:t>
            </w:r>
          </w:p>
          <w:p>
            <w:pPr>
              <w:widowControl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（3）具备会计、审计、税务、财务管理等专业知识，并能独立完成公司财务制度、会计核算分析、税务策划、资产匹配、审计、培训等工作，有较强的风险防范和控制意识;</w:t>
            </w:r>
          </w:p>
          <w:p>
            <w:pPr>
              <w:widowControl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（4）具有注册会计师证书及3年以上企业财务工作经验。</w:t>
            </w:r>
          </w:p>
        </w:tc>
        <w:tc>
          <w:tcPr>
            <w:tcW w:w="113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1450" w:hRule="atLeast"/>
          <w:jc w:val="center"/>
        </w:trPr>
        <w:tc>
          <w:tcPr>
            <w:tcW w:w="839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6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会计岗</w:t>
            </w:r>
          </w:p>
        </w:tc>
        <w:tc>
          <w:tcPr>
            <w:tcW w:w="86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9028" w:type="dxa"/>
            <w:vAlign w:val="center"/>
          </w:tcPr>
          <w:p>
            <w:pPr>
              <w:widowControl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（1）本科学历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会计专业；</w:t>
            </w:r>
          </w:p>
          <w:p>
            <w:pPr>
              <w:widowControl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）具备会计、审计、税务、财务管理等专业知识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并能独立完成公司财务制度、会计核算分析、税务策划、资产匹配、审计等工作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）具有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中级会计师职称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证书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会计事务所、城投公司会计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工作经验。</w:t>
            </w:r>
          </w:p>
        </w:tc>
        <w:tc>
          <w:tcPr>
            <w:tcW w:w="113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lang w:eastAsia="zh-CN"/>
        </w:rPr>
      </w:pPr>
    </w:p>
    <w:sectPr>
      <w:headerReference r:id="rId4" w:type="default"/>
      <w:footerReference r:id="rId5" w:type="default"/>
      <w:pgSz w:w="16838" w:h="11906" w:orient="landscape"/>
      <w:pgMar w:top="960" w:right="1440" w:bottom="949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-apple-system-fon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Hei Western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·ÂËÎ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 Greek">
    <w:altName w:val="Tahom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ahoma Tur">
    <w:altName w:val="Tahom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ahoma (Hebrew)">
    <w:altName w:val="Tahom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微锟斤拷锟脚猴拷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ahoma (Vietnamese)">
    <w:altName w:val="Tahom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ahoma (Thai)">
    <w:altName w:val="Tahoma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Calibri Light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crosoft YaHei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crosoft YaHei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crosoft YaHei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crosoft YaHei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ahoma CE">
    <w:altName w:val="Tahom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ahoma Cyr">
    <w:altName w:val="Tahom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 (Arabic)">
    <w:altName w:val="Tahom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ahoma Baltic">
    <w:altName w:val="Tahom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Light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Light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Light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Light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Light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等线 Light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nui !importan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·ÂËÎ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ËÎÌå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星仿宋">
    <w:altName w:val="仿宋_GB2312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综艺体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NumberOnly">
    <w:altName w:val="Segoe UI Symbol"/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PingFang SC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字体管家仿宋">
    <w:altName w:val="仿宋"/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明體 Std L">
    <w:altName w:val="MS Mincho"/>
    <w:panose1 w:val="00000000000000000000"/>
    <w:charset w:val="80"/>
    <w:family w:val="auto"/>
    <w:pitch w:val="default"/>
    <w:sig w:usb0="00000000" w:usb1="00000000" w:usb2="00000016" w:usb3="00000000" w:csb0="00120005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华文琥珀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_4eff_5b8b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lgerian">
    <w:altName w:val="Gabriola"/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gency FB">
    <w:altName w:val="Malgun Gothic"/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Yu Gothic UI">
    <w:altName w:val="Meiryo UI"/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altName w:val="Meiryo UI"/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&amp;quo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-apple-system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pPr>
      <w:keepNext/>
      <w:keepLines/>
      <w:spacing w:before="260" w:after="260" w:line="416" w:lineRule="auto"/>
      <w:outlineLvl w:val="1"/>
    </w:pPr>
    <w:rPr>
      <w:rFonts w:hint="eastAsia" w:ascii="Cambria" w:hAnsi="Cambria"/>
      <w:b/>
      <w:sz w:val="32"/>
    </w:rPr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普通(网站)1"/>
    <w:basedOn w:val="1"/>
    <w:pPr>
      <w:spacing w:beforeAutospacing="1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2020-12-15T08:34:00Z</dcterms:created>
  <cp:lastPrinted>2020-12-16T09:54:00Z</cp:lastPrinted>
  <dcterms:modified xsi:type="dcterms:W3CDTF">2020-12-15T10:27:07Z</dcterms:modified>
  <dc:title>许昌市建设投资有限责任公司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