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7"/>
          <w:szCs w:val="17"/>
          <w:shd w:val="clear" w:fill="FFFFFF"/>
        </w:rPr>
        <w:t>中山大学孙逸仙纪念医院基础与转化医学研究中心实验岗位招聘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99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801"/>
        <w:gridCol w:w="881"/>
        <w:gridCol w:w="1201"/>
        <w:gridCol w:w="1333"/>
        <w:gridCol w:w="932"/>
        <w:gridCol w:w="801"/>
        <w:gridCol w:w="940"/>
        <w:gridCol w:w="741"/>
        <w:gridCol w:w="151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 代码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专科/课题组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用工形式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实验技能要求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6" w:hRule="atLeast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C20-68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基础与转化医学研究中心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黄金刚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成纤维细胞，巨噬细胞和中性粒细胞及其互作在自身免疫病(系统性硬化症，关节炎等)和癌症(肝癌等)中的作用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生物、医学、药学等相关专业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院内合同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分子生物学，生物化学，细胞生物学及动物实验等相关实验技能</w:t>
            </w:r>
          </w:p>
        </w:tc>
      </w:tr>
      <w:bookmarkEnd w:id="0"/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E1C75"/>
    <w:rsid w:val="127E1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2020-11-16T10:13:00Z</dcterms:created>
  <dc:creator>ASUS</dc:creator>
  <cp:lastModifiedBy>ASUS</cp:lastModifiedBy>
  <dcterms:modified xsi:type="dcterms:W3CDTF">2020-11-16T10:14:06Z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