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10"/>
        </w:tabs>
        <w:bidi w:val="0"/>
        <w:jc w:val="left"/>
        <w:rPr>
          <w:rFonts w:ascii="宋体" w:hAnsi="宋体" w:cs="宋体"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cs="宋体"/>
          <w:bCs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cs="宋体"/>
          <w:bCs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kern w:val="0"/>
          <w:sz w:val="30"/>
          <w:szCs w:val="30"/>
        </w:rPr>
        <w:t>：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Cs/>
          <w:color w:val="auto"/>
          <w:kern w:val="0"/>
          <w:sz w:val="36"/>
          <w:szCs w:val="36"/>
          <w:lang w:val="en-US" w:eastAsia="zh-CN"/>
        </w:rPr>
        <w:t>安庆市永华融资担保有限责任公司2020年公开招聘工作人员岗位设置一览表</w:t>
      </w:r>
      <w:bookmarkEnd w:id="0"/>
    </w:p>
    <w:tbl>
      <w:tblPr>
        <w:tblStyle w:val="6"/>
        <w:tblpPr w:leftFromText="180" w:rightFromText="180" w:vertAnchor="text" w:horzAnchor="page" w:tblpX="1436" w:tblpY="506"/>
        <w:tblOverlap w:val="never"/>
        <w:tblW w:w="14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755"/>
        <w:gridCol w:w="825"/>
        <w:gridCol w:w="2300"/>
        <w:gridCol w:w="1165"/>
        <w:gridCol w:w="840"/>
        <w:gridCol w:w="1500"/>
        <w:gridCol w:w="3302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  <w:lang w:val="en-US" w:eastAsia="zh-CN"/>
              </w:rPr>
              <w:t>岗位名称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  <w:t>人数</w:t>
            </w:r>
          </w:p>
        </w:tc>
        <w:tc>
          <w:tcPr>
            <w:tcW w:w="910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6"/>
                <w:szCs w:val="36"/>
              </w:rPr>
              <w:t>岗位条件和要求</w:t>
            </w:r>
          </w:p>
        </w:tc>
        <w:tc>
          <w:tcPr>
            <w:tcW w:w="17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5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25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  <w:t>专业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  <w:t>学历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  <w:t>性别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30"/>
                <w:szCs w:val="30"/>
              </w:rPr>
              <w:t>年龄</w:t>
            </w:r>
          </w:p>
        </w:tc>
        <w:tc>
          <w:tcPr>
            <w:tcW w:w="3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lang w:eastAsia="zh-CN"/>
              </w:rPr>
              <w:t>工作经历要求</w:t>
            </w:r>
          </w:p>
        </w:tc>
        <w:tc>
          <w:tcPr>
            <w:tcW w:w="1726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业务经理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0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微软雅黑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微软雅黑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（经济学类0201）、（财政学类0202）、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微软雅黑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微软雅黑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（金融学类2003）、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微软雅黑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微软雅黑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（会计学120203k）、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微软雅黑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微软雅黑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（财务管理120204）、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eastAsia="微软雅黑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微软雅黑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（审计学120207）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</w:rPr>
              <w:t>以上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3302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报考人员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须有</w:t>
            </w:r>
            <w:r>
              <w:rPr>
                <w:rFonts w:hint="eastAsia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年以上工作经验</w:t>
            </w:r>
            <w:r>
              <w:rPr>
                <w:rFonts w:hint="eastAsia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同类工作经历者优先</w:t>
            </w:r>
            <w:r>
              <w:rPr>
                <w:rFonts w:hint="eastAsia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年薪不低于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  <w:t>8万元/年。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报考专业以《教育部关于印发〔普通高等学校本科专业目录（2012年）〕、〔普通高等学校本科专业设置管理规定〕等文件的通知》（教高［2012］9号）及《授予博士、硕士学位和培养研究生的学科、专业目录》（1997年）为参考标准。</w:t>
      </w:r>
    </w:p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73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868DC"/>
    <w:rsid w:val="0526076F"/>
    <w:rsid w:val="131B4225"/>
    <w:rsid w:val="1F4868DC"/>
    <w:rsid w:val="3D1B6B7C"/>
    <w:rsid w:val="3F360FB8"/>
    <w:rsid w:val="4ED07A68"/>
    <w:rsid w:val="5CDD6547"/>
    <w:rsid w:val="5D2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2020-11-12T08:20:00Z</dcterms:created>
  <dc:creator>丶粗面君</dc:creator>
  <cp:lastModifiedBy>chuyun</cp:lastModifiedBy>
  <dcterms:modified xsi:type="dcterms:W3CDTF">2020-11-16T07:43:06Z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