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0" w:afterAutospacing="0" w:line="225" w:lineRule="atLeast"/>
        <w:ind w:left="0" w:right="0" w:firstLine="401"/>
        <w:jc w:val="left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15"/>
          <w:szCs w:val="15"/>
        </w:rPr>
      </w:pPr>
      <w:bookmarkStart w:id="0" w:name="_GoBack"/>
      <w:r>
        <w:rPr>
          <w:rStyle w:val="5"/>
          <w:rFonts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20"/>
          <w:szCs w:val="20"/>
          <w:bdr w:val="none" w:color="auto" w:sz="0" w:space="0"/>
          <w:shd w:val="clear" w:fill="FFFFFF"/>
        </w:rPr>
        <w:t>待遇说明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25" w:lineRule="atLeast"/>
        <w:ind w:left="0" w:right="0" w:firstLine="401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0"/>
          <w:szCs w:val="20"/>
          <w:bdr w:val="none" w:color="auto" w:sz="0" w:space="0"/>
          <w:shd w:val="clear" w:fill="FFFFFF"/>
        </w:rPr>
        <w:t>学校实行全员聘任制，签订劳动合同。薪资待遇按照学校自行制定的标准执行，按国家相关规定为教职工缴纳社会保险和住房公积金，档案挂靠桂林市人才市场。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25" w:lineRule="atLeast"/>
        <w:ind w:left="0" w:right="25" w:firstLine="401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0"/>
          <w:szCs w:val="20"/>
          <w:bdr w:val="none" w:color="auto" w:sz="0" w:space="0"/>
          <w:shd w:val="clear" w:fill="FFFFFF"/>
        </w:rPr>
        <w:t>学校制定了人才引进优惠政策，对全职引进的专任教师提供安家费、科研启动经费（金额单位：万元，均为税前）：</w:t>
      </w:r>
    </w:p>
    <w:tbl>
      <w:tblPr>
        <w:tblW w:w="11883" w:type="dxa"/>
        <w:jc w:val="center"/>
        <w:tblBorders>
          <w:top w:val="single" w:color="333333" w:sz="4" w:space="0"/>
          <w:left w:val="single" w:color="333333" w:sz="4" w:space="0"/>
          <w:bottom w:val="single" w:color="333333" w:sz="4" w:space="0"/>
          <w:right w:val="single" w:color="333333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"/>
        <w:gridCol w:w="6888"/>
        <w:gridCol w:w="1039"/>
        <w:gridCol w:w="857"/>
        <w:gridCol w:w="1039"/>
        <w:gridCol w:w="1040"/>
      </w:tblGrid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54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人才类别</w:t>
            </w:r>
          </w:p>
        </w:tc>
        <w:tc>
          <w:tcPr>
            <w:tcW w:w="71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安家费</w:t>
            </w: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科研启动经费</w:t>
            </w:r>
          </w:p>
        </w:tc>
        <w:tc>
          <w:tcPr>
            <w:tcW w:w="71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服务期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（年）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54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工科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非工科</w:t>
            </w:r>
          </w:p>
        </w:tc>
        <w:tc>
          <w:tcPr>
            <w:tcW w:w="71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第一类</w:t>
            </w:r>
          </w:p>
        </w:tc>
        <w:tc>
          <w:tcPr>
            <w:tcW w:w="3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具有省部级、国家级人才称号的人才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面议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面议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面议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面议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第二类</w:t>
            </w:r>
          </w:p>
        </w:tc>
        <w:tc>
          <w:tcPr>
            <w:tcW w:w="3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具有博士学位及正高级职称的人才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100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25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15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8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第三类</w:t>
            </w:r>
          </w:p>
        </w:tc>
        <w:tc>
          <w:tcPr>
            <w:tcW w:w="3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具有正高级职称或具有博士学位及副高级职称的人才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75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20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8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第四类</w:t>
            </w:r>
          </w:p>
        </w:tc>
        <w:tc>
          <w:tcPr>
            <w:tcW w:w="3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具有博士学位的人才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30-45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15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8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5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第五类</w:t>
            </w:r>
          </w:p>
        </w:tc>
        <w:tc>
          <w:tcPr>
            <w:tcW w:w="3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具有副高级职称的人才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20-30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5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5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第六类</w:t>
            </w:r>
          </w:p>
        </w:tc>
        <w:tc>
          <w:tcPr>
            <w:tcW w:w="3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具有全日制硕士学位的应届毕业生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5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3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8152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附注：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．以上所指正高级及副高级职称须为高校相关系列的职称，且通过我校职称评审委员会认定。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0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 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．以上所指硕士学位须为国内的学术型硕士。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CD17C4"/>
    <w:rsid w:val="1CCD17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2020-11-06T07:47:00Z</dcterms:created>
  <dc:creator>ASUS</dc:creator>
  <cp:lastModifiedBy>ASUS</cp:lastModifiedBy>
  <dcterms:modified xsi:type="dcterms:W3CDTF">2020-11-06T07:47:42Z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