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5" w:rsidRDefault="00297275">
      <w:pPr>
        <w:widowControl/>
        <w:shd w:val="clear" w:color="auto" w:fill="FFFFFF"/>
        <w:spacing w:line="525" w:lineRule="atLeast"/>
        <w:jc w:val="left"/>
        <w:textAlignment w:val="bottom"/>
        <w:rPr>
          <w:rFonts w:ascii="仿宋" w:eastAsia="仿宋" w:hAnsi="仿宋" w:cs="仿宋"/>
          <w:color w:val="333333"/>
          <w:kern w:val="0"/>
          <w:sz w:val="30"/>
          <w:szCs w:val="30"/>
        </w:rPr>
        <w:sectPr w:rsidR="00297275">
          <w:pgSz w:w="11906" w:h="16838"/>
          <w:pgMar w:top="2098" w:right="1587" w:bottom="1871" w:left="1587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D31440" w:rsidRDefault="00D31440">
      <w:pPr>
        <w:widowControl/>
        <w:shd w:val="clear" w:color="auto" w:fill="FFFFFF"/>
        <w:spacing w:line="525" w:lineRule="atLeast"/>
        <w:jc w:val="left"/>
        <w:textAlignment w:val="bottom"/>
        <w:rPr>
          <w:rFonts w:ascii="仿宋" w:eastAsia="仿宋" w:hAnsi="仿宋" w:cs="仿宋"/>
          <w:b/>
          <w:bCs/>
          <w:color w:val="333333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0"/>
          <w:szCs w:val="30"/>
        </w:rPr>
        <w:lastRenderedPageBreak/>
        <w:t>附件一：招聘岗位说明书</w:t>
      </w:r>
    </w:p>
    <w:p w:rsidR="00297275" w:rsidRDefault="00FA2FBE">
      <w:pPr>
        <w:widowControl/>
        <w:shd w:val="clear" w:color="auto" w:fill="FFFFFF"/>
        <w:spacing w:line="525" w:lineRule="atLeast"/>
        <w:jc w:val="left"/>
        <w:textAlignment w:val="bottom"/>
        <w:rPr>
          <w:rFonts w:ascii="仿宋" w:eastAsia="仿宋" w:hAnsi="仿宋" w:cs="仿宋"/>
          <w:b/>
          <w:bCs/>
          <w:color w:val="333333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0"/>
          <w:szCs w:val="30"/>
        </w:rPr>
        <w:t>绍兴市国有资本运营有限公司本级：2人</w:t>
      </w:r>
    </w:p>
    <w:tbl>
      <w:tblPr>
        <w:tblW w:w="15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141"/>
        <w:gridCol w:w="709"/>
        <w:gridCol w:w="9583"/>
      </w:tblGrid>
      <w:tr w:rsidR="00297275">
        <w:trPr>
          <w:trHeight w:val="90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40" w:lineRule="exact"/>
              <w:jc w:val="center"/>
              <w:rPr>
                <w:rFonts w:ascii="Calibri" w:eastAsia="宋体" w:hAnsi="Calibri" w:cs="Times New Roman"/>
                <w:sz w:val="16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招聘人数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3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岗  位  需  求</w:t>
            </w:r>
          </w:p>
        </w:tc>
      </w:tr>
      <w:tr w:rsidR="00297275">
        <w:trPr>
          <w:trHeight w:val="1631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组织人事部（党建工作部）工作人员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1.全日制本科及以上学历，人力资源管理、汉语言文学、历史学等相关专业，双一流高校毕业生优先；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2.年龄35周岁及以下；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3.中共党员；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4.有较好的文字写作功底。</w:t>
            </w:r>
          </w:p>
        </w:tc>
      </w:tr>
      <w:tr w:rsidR="00297275">
        <w:trPr>
          <w:trHeight w:val="1331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  <w:szCs w:val="22"/>
              </w:rPr>
              <w:t>投资发展部工作人员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1.全日制本科及以上学历，经济学、会计学、管理学等相关专业。</w:t>
            </w:r>
          </w:p>
          <w:p w:rsidR="00297275" w:rsidRDefault="00FA2FBE">
            <w:pPr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具有3年及以上资产、金融等</w:t>
            </w:r>
            <w:r>
              <w:rPr>
                <w:rFonts w:ascii="仿宋" w:eastAsia="仿宋" w:hAnsi="仿宋" w:hint="eastAsia"/>
                <w:spacing w:val="8"/>
                <w:sz w:val="24"/>
              </w:rPr>
              <w:t>相关岗位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工作经历；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  <w:szCs w:val="22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3.年龄35周岁及以下。</w:t>
            </w:r>
          </w:p>
        </w:tc>
      </w:tr>
    </w:tbl>
    <w:p w:rsidR="00297275" w:rsidRDefault="00297275">
      <w:pPr>
        <w:widowControl/>
        <w:shd w:val="clear" w:color="auto" w:fill="FFFFFF"/>
        <w:spacing w:line="525" w:lineRule="atLeast"/>
        <w:ind w:firstLine="1275"/>
        <w:jc w:val="left"/>
        <w:textAlignment w:val="bottom"/>
        <w:rPr>
          <w:rFonts w:ascii="仿宋" w:eastAsia="仿宋" w:hAnsi="仿宋" w:cs="仿宋"/>
          <w:color w:val="333333"/>
          <w:kern w:val="0"/>
          <w:sz w:val="30"/>
          <w:szCs w:val="30"/>
        </w:rPr>
      </w:pPr>
    </w:p>
    <w:p w:rsidR="00297275" w:rsidRDefault="00FA2FBE">
      <w:pPr>
        <w:widowControl/>
        <w:shd w:val="clear" w:color="auto" w:fill="FFFFFF"/>
        <w:spacing w:line="525" w:lineRule="atLeast"/>
        <w:jc w:val="left"/>
        <w:textAlignment w:val="bottom"/>
        <w:rPr>
          <w:rFonts w:ascii="仿宋" w:eastAsia="仿宋" w:hAnsi="仿宋" w:cs="仿宋"/>
          <w:b/>
          <w:bCs/>
          <w:color w:val="333333"/>
          <w:kern w:val="0"/>
          <w:sz w:val="30"/>
          <w:szCs w:val="30"/>
        </w:rPr>
      </w:pPr>
      <w:r>
        <w:rPr>
          <w:rFonts w:ascii="仿宋" w:eastAsia="仿宋" w:hAnsi="仿宋" w:cs="仿宋"/>
          <w:b/>
          <w:bCs/>
          <w:color w:val="333333"/>
          <w:kern w:val="0"/>
          <w:sz w:val="30"/>
          <w:szCs w:val="30"/>
        </w:rPr>
        <w:t>绍兴市富越股权投资基金有限公司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30"/>
          <w:szCs w:val="30"/>
        </w:rPr>
        <w:t>：8人</w:t>
      </w:r>
    </w:p>
    <w:tbl>
      <w:tblPr>
        <w:tblW w:w="15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141"/>
        <w:gridCol w:w="709"/>
        <w:gridCol w:w="9583"/>
      </w:tblGrid>
      <w:tr w:rsidR="00297275">
        <w:trPr>
          <w:trHeight w:val="90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340" w:lineRule="exact"/>
              <w:jc w:val="center"/>
              <w:rPr>
                <w:rFonts w:ascii="黑体" w:eastAsia="黑体" w:hAnsi="黑体" w:cs="黑体"/>
                <w:b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40" w:lineRule="exact"/>
              <w:jc w:val="center"/>
              <w:rPr>
                <w:rFonts w:ascii="Calibri" w:eastAsia="宋体" w:hAnsi="Calibri" w:cs="Times New Roman"/>
                <w:sz w:val="16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招聘人数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34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岗  位  需  求</w:t>
            </w:r>
          </w:p>
        </w:tc>
      </w:tr>
      <w:tr w:rsidR="00297275">
        <w:trPr>
          <w:trHeight w:val="650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总经理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pStyle w:val="a6"/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1.全日制硕士及以上学历，经济、金融、法律等相关专业，且本科毕业于国内外知名院校（985、211）;</w:t>
            </w:r>
          </w:p>
          <w:p w:rsidR="00297275" w:rsidRDefault="00FA2FBE">
            <w:pPr>
              <w:pStyle w:val="a6"/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2.具有5年以上投资管理相关工作经验且担任部门总经理3年以上，或在知名私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募股权投资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基金担任投资总监3年以上;</w:t>
            </w:r>
          </w:p>
          <w:p w:rsidR="00297275" w:rsidRDefault="00FA2FBE">
            <w:pPr>
              <w:pStyle w:val="a6"/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3.具备基金从业资格；</w:t>
            </w:r>
          </w:p>
          <w:p w:rsidR="00297275" w:rsidRDefault="00FA2FBE">
            <w:pPr>
              <w:pStyle w:val="a6"/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4.具有扎实的尽职调查、财务预测、估值分析、交易结构设计、基金管理、资本运作、商务谈判等实操和团队管理经验；</w:t>
            </w:r>
          </w:p>
          <w:p w:rsidR="00297275" w:rsidRDefault="00FA2FBE">
            <w:pPr>
              <w:pStyle w:val="a6"/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5.具有丰富的跨领域项目操盘经验，包括但不限于PE、Pre-IPO、再融资、M&amp;A、产业基</w:t>
            </w: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金、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国企混改等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项目；</w:t>
            </w:r>
          </w:p>
          <w:p w:rsidR="00297275" w:rsidRDefault="00FA2FBE">
            <w:pPr>
              <w:pStyle w:val="a6"/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6.具有广泛的跨行业领域投资合作资源，包括但不限于金融机构、上市公司、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央企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/地方国企、民营集团等机构；</w:t>
            </w:r>
          </w:p>
          <w:p w:rsidR="00297275" w:rsidRDefault="00FA2FBE">
            <w:pPr>
              <w:pStyle w:val="a6"/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7.年龄40周岁及以下。</w:t>
            </w:r>
          </w:p>
        </w:tc>
      </w:tr>
      <w:tr w:rsidR="00297275">
        <w:trPr>
          <w:trHeight w:val="385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2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部门经理（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风控总监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1.全日制本科及以上学历，经济、金融、法律等相关专业;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2.具有5年以上风控或法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管理相关工作经验且担任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风控或法务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部门管理工作3年以上，或在知名私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募股权投资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基金担任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风控或法务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总监3年以上;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3.具备基金从业资格及法律职业资格证；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4.具有扎实的尽职调查、风险管理、法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管理等实操经验，熟悉国有资产监督管理相关规定要求，了解证监会、银保监会等监管机构颁布的相关法律和行政法规；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5.具有丰富的跨领域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风控或法务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管理经验，包括但不限于PE、Pre-IPO、再融资、M&amp;A、产业基金、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国企混改等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项目；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6.年龄35周岁及以下。</w:t>
            </w:r>
          </w:p>
        </w:tc>
      </w:tr>
      <w:tr w:rsidR="00297275">
        <w:trPr>
          <w:trHeight w:val="1456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高级投资经理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1.全日制本科及以上学历，经济、金融、法律等相关专业;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2.具有3年以上股权投资相关工作经验；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3.具备基金从业资格及证券从业资格;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4.具有基本的尽职调查、财务分析、估值分析、投资可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、方案设计等实操能力，熟悉各类估值模型，能够独立完成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投资尽调与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估值分析报告；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5.具有一定的项目经历，包括但不限于PE、Pre-IPO、再融资、M&amp;A、产业基金、</w:t>
            </w:r>
            <w:proofErr w:type="gramStart"/>
            <w:r>
              <w:rPr>
                <w:rFonts w:ascii="仿宋" w:eastAsia="仿宋" w:hAnsi="仿宋" w:cs="仿宋_GB2312" w:hint="eastAsia"/>
                <w:sz w:val="24"/>
              </w:rPr>
              <w:t>国企混改等</w:t>
            </w:r>
            <w:proofErr w:type="gramEnd"/>
            <w:r>
              <w:rPr>
                <w:rFonts w:ascii="仿宋" w:eastAsia="仿宋" w:hAnsi="仿宋" w:cs="仿宋_GB2312" w:hint="eastAsia"/>
                <w:sz w:val="24"/>
              </w:rPr>
              <w:t>项目；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6.具有较强的主观能动性和抗压能力，善于投资分析与价值发现，且具有优秀的文字功底，能够熟练应用至少一种以下统计分析编程软件</w:t>
            </w:r>
            <w:proofErr w:type="spellStart"/>
            <w:r>
              <w:rPr>
                <w:rFonts w:ascii="仿宋" w:eastAsia="仿宋" w:hAnsi="仿宋" w:cs="仿宋_GB2312" w:hint="eastAsia"/>
                <w:sz w:val="24"/>
              </w:rPr>
              <w:t>Eviews</w:t>
            </w:r>
            <w:proofErr w:type="spellEnd"/>
            <w:r>
              <w:rPr>
                <w:rFonts w:ascii="仿宋" w:eastAsia="仿宋" w:hAnsi="仿宋" w:cs="仿宋_GB2312" w:hint="eastAsia"/>
                <w:sz w:val="24"/>
              </w:rPr>
              <w:t xml:space="preserve"> SPSS </w:t>
            </w:r>
            <w:proofErr w:type="spellStart"/>
            <w:r>
              <w:rPr>
                <w:rFonts w:ascii="仿宋" w:eastAsia="仿宋" w:hAnsi="仿宋" w:cs="仿宋_GB2312" w:hint="eastAsia"/>
                <w:sz w:val="24"/>
              </w:rPr>
              <w:t>Matlab</w:t>
            </w:r>
            <w:proofErr w:type="spellEnd"/>
            <w:r>
              <w:rPr>
                <w:rFonts w:ascii="仿宋" w:eastAsia="仿宋" w:hAnsi="仿宋" w:cs="仿宋_GB2312" w:hint="eastAsia"/>
                <w:sz w:val="24"/>
              </w:rPr>
              <w:t xml:space="preserve">  C  Python或者其他相似软件；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7.年龄35周岁及以下。</w:t>
            </w:r>
          </w:p>
        </w:tc>
      </w:tr>
      <w:tr w:rsidR="00297275">
        <w:trPr>
          <w:trHeight w:val="1319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初级分析师1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1.全日制本科及以上学历，经济学、金融、管理学等相关专业；</w:t>
            </w:r>
          </w:p>
          <w:p w:rsidR="00297275" w:rsidRDefault="00FA2FBE">
            <w:pPr>
              <w:spacing w:line="280" w:lineRule="exact"/>
              <w:ind w:left="240" w:hangingChars="100" w:hanging="24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具有3年以上</w:t>
            </w:r>
            <w:r>
              <w:rPr>
                <w:rFonts w:ascii="仿宋" w:eastAsia="仿宋" w:hAnsi="仿宋" w:cs="仿宋_GB2312" w:hint="eastAsia"/>
                <w:sz w:val="24"/>
              </w:rPr>
              <w:t>相关专业工作经历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；</w:t>
            </w:r>
          </w:p>
          <w:p w:rsidR="00297275" w:rsidRDefault="00FA2FBE">
            <w:pPr>
              <w:spacing w:line="280" w:lineRule="exact"/>
              <w:ind w:left="240" w:hangingChars="100" w:hanging="240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3.</w:t>
            </w:r>
            <w:r>
              <w:rPr>
                <w:rFonts w:ascii="仿宋" w:eastAsia="仿宋" w:hAnsi="仿宋" w:cs="仿宋_GB2312" w:hint="eastAsia"/>
                <w:sz w:val="24"/>
              </w:rPr>
              <w:t>具备基金从业资格及证券从业资格;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4.年龄35周岁及以下。</w:t>
            </w:r>
          </w:p>
        </w:tc>
      </w:tr>
      <w:tr w:rsidR="00297275">
        <w:trPr>
          <w:trHeight w:val="1298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lastRenderedPageBreak/>
              <w:t>5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初级分析师2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1.全日制本科、全日制硕士</w:t>
            </w:r>
            <w:r>
              <w:rPr>
                <w:rFonts w:ascii="仿宋" w:eastAsia="仿宋" w:hAnsi="仿宋" w:cs="仿宋_GB2312"/>
                <w:sz w:val="24"/>
              </w:rPr>
              <w:t>应届毕业生</w:t>
            </w:r>
            <w:r>
              <w:rPr>
                <w:rFonts w:ascii="仿宋" w:eastAsia="仿宋" w:hAnsi="仿宋" w:cs="仿宋_GB2312" w:hint="eastAsia"/>
                <w:sz w:val="24"/>
              </w:rPr>
              <w:t>（2020年毕业及2021年毕业生统称为应届毕业生），本科应届毕业生专业需为金融、经济学等相关专业；硕士应届毕业生，本科或硕士专业需为</w:t>
            </w:r>
            <w:r>
              <w:rPr>
                <w:rFonts w:ascii="仿宋" w:eastAsia="仿宋" w:hAnsi="仿宋" w:cs="仿宋_GB2312"/>
                <w:sz w:val="24"/>
              </w:rPr>
              <w:t>金融</w:t>
            </w:r>
            <w:r>
              <w:rPr>
                <w:rFonts w:ascii="仿宋" w:eastAsia="仿宋" w:hAnsi="仿宋" w:cs="仿宋_GB2312" w:hint="eastAsia"/>
                <w:sz w:val="24"/>
              </w:rPr>
              <w:t>、</w:t>
            </w:r>
            <w:r>
              <w:rPr>
                <w:rFonts w:ascii="仿宋" w:eastAsia="仿宋" w:hAnsi="仿宋" w:cs="仿宋_GB2312"/>
                <w:sz w:val="24"/>
              </w:rPr>
              <w:t>经济</w:t>
            </w:r>
            <w:r>
              <w:rPr>
                <w:rFonts w:ascii="仿宋" w:eastAsia="仿宋" w:hAnsi="仿宋" w:cs="仿宋_GB2312" w:hint="eastAsia"/>
                <w:sz w:val="24"/>
              </w:rPr>
              <w:t>学</w:t>
            </w:r>
            <w:r>
              <w:rPr>
                <w:rFonts w:ascii="仿宋" w:eastAsia="仿宋" w:hAnsi="仿宋" w:cs="仿宋_GB2312"/>
                <w:sz w:val="24"/>
              </w:rPr>
              <w:t>等相关专业</w:t>
            </w:r>
            <w:r>
              <w:rPr>
                <w:rFonts w:ascii="仿宋" w:eastAsia="仿宋" w:hAnsi="仿宋" w:cs="仿宋_GB2312" w:hint="eastAsia"/>
                <w:sz w:val="24"/>
              </w:rPr>
              <w:t>。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2.年龄30周岁及以下。</w:t>
            </w:r>
          </w:p>
        </w:tc>
      </w:tr>
      <w:tr w:rsidR="00297275">
        <w:trPr>
          <w:trHeight w:val="1307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6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行政部门副经理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1.全日制本科及以上学历，经济、金融、管理学等相关专业;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2.具有3年以上基金综合运营、投后管理相关工作经验；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3.具备基金从业资格;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4.年龄35周岁及以下。</w:t>
            </w:r>
          </w:p>
        </w:tc>
      </w:tr>
      <w:tr w:rsidR="00297275">
        <w:trPr>
          <w:trHeight w:val="1205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7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行政部门主管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1.全日制本科及以上学历，金融、管理学、社会学等相关专业;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2.具有3年以上国有企业工作经验，需有较强的文字、协调能力；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3.年龄35周岁及以下。</w:t>
            </w:r>
          </w:p>
        </w:tc>
      </w:tr>
      <w:tr w:rsidR="00297275">
        <w:trPr>
          <w:trHeight w:val="1205"/>
          <w:jc w:val="center"/>
        </w:trPr>
        <w:tc>
          <w:tcPr>
            <w:tcW w:w="8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</w:t>
            </w:r>
          </w:p>
        </w:tc>
        <w:tc>
          <w:tcPr>
            <w:tcW w:w="4141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行政部门后勤专员</w:t>
            </w:r>
          </w:p>
        </w:tc>
        <w:tc>
          <w:tcPr>
            <w:tcW w:w="709" w:type="dxa"/>
            <w:vAlign w:val="center"/>
          </w:tcPr>
          <w:p w:rsidR="00297275" w:rsidRDefault="00FA2FBE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9583" w:type="dxa"/>
            <w:vAlign w:val="center"/>
          </w:tcPr>
          <w:p w:rsidR="00297275" w:rsidRDefault="00FA2FBE">
            <w:pPr>
              <w:spacing w:line="28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1.大专</w:t>
            </w:r>
            <w:r>
              <w:rPr>
                <w:rFonts w:ascii="仿宋" w:eastAsia="仿宋" w:hAnsi="仿宋" w:cs="仿宋_GB2312" w:hint="eastAsia"/>
                <w:sz w:val="24"/>
              </w:rPr>
              <w:t>及以上学历，中文、管理学、社会学等相关专业；</w:t>
            </w:r>
          </w:p>
          <w:p w:rsidR="00297275" w:rsidRDefault="00FA2FBE">
            <w:pPr>
              <w:spacing w:line="2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2.</w:t>
            </w:r>
            <w:r>
              <w:rPr>
                <w:rFonts w:ascii="仿宋" w:eastAsia="仿宋" w:hAnsi="仿宋" w:cs="仿宋_GB2312" w:hint="eastAsia"/>
                <w:sz w:val="24"/>
              </w:rPr>
              <w:t>具有5年以上党政机关、事业单位、国有企业相关工作经历；</w:t>
            </w:r>
          </w:p>
          <w:p w:rsidR="00297275" w:rsidRDefault="00FA2FBE">
            <w:pPr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3.年龄35周岁及以下。</w:t>
            </w:r>
          </w:p>
        </w:tc>
      </w:tr>
    </w:tbl>
    <w:p w:rsidR="00297275" w:rsidRDefault="00297275" w:rsidP="00D31440">
      <w:pPr>
        <w:rPr>
          <w:rFonts w:hint="eastAsia"/>
          <w:b/>
          <w:sz w:val="44"/>
          <w:szCs w:val="44"/>
        </w:rPr>
        <w:sectPr w:rsidR="00297275">
          <w:footerReference w:type="default" r:id="rId8"/>
          <w:footerReference w:type="first" r:id="rId9"/>
          <w:pgSz w:w="16838" w:h="11906" w:orient="landscape"/>
          <w:pgMar w:top="1587" w:right="2098" w:bottom="1587" w:left="1871" w:header="851" w:footer="992" w:gutter="0"/>
          <w:cols w:space="720"/>
          <w:docGrid w:type="lines" w:linePitch="312"/>
        </w:sectPr>
      </w:pPr>
    </w:p>
    <w:p w:rsidR="00297275" w:rsidRDefault="00297275">
      <w:pPr>
        <w:rPr>
          <w:rFonts w:hint="eastAsia"/>
        </w:rPr>
      </w:pPr>
    </w:p>
    <w:sectPr w:rsidR="00297275">
      <w:pgSz w:w="11906" w:h="16838"/>
      <w:pgMar w:top="2098" w:right="1587" w:bottom="187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D6" w:rsidRDefault="004379D6">
      <w:r>
        <w:separator/>
      </w:r>
    </w:p>
  </w:endnote>
  <w:endnote w:type="continuationSeparator" w:id="0">
    <w:p w:rsidR="004379D6" w:rsidRDefault="0043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75" w:rsidRDefault="00FA2FB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440" w:rsidRPr="00D31440">
      <w:rPr>
        <w:noProof/>
        <w:lang w:val="zh-CN"/>
      </w:rPr>
      <w:t>5</w:t>
    </w:r>
    <w:r>
      <w:rPr>
        <w:lang w:val="zh-CN"/>
      </w:rPr>
      <w:fldChar w:fldCharType="end"/>
    </w:r>
  </w:p>
  <w:p w:rsidR="00297275" w:rsidRDefault="002972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75" w:rsidRDefault="00FA2FB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:rsidR="00297275" w:rsidRDefault="002972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D6" w:rsidRDefault="004379D6">
      <w:r>
        <w:separator/>
      </w:r>
    </w:p>
  </w:footnote>
  <w:footnote w:type="continuationSeparator" w:id="0">
    <w:p w:rsidR="004379D6" w:rsidRDefault="0043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50E8CF"/>
    <w:multiLevelType w:val="singleLevel"/>
    <w:tmpl w:val="9850E8C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5D6742"/>
    <w:rsid w:val="00297275"/>
    <w:rsid w:val="003113D1"/>
    <w:rsid w:val="00362EA5"/>
    <w:rsid w:val="004379D6"/>
    <w:rsid w:val="00B2135F"/>
    <w:rsid w:val="00B72137"/>
    <w:rsid w:val="00D31440"/>
    <w:rsid w:val="00DE0920"/>
    <w:rsid w:val="00E01865"/>
    <w:rsid w:val="00FA2FBE"/>
    <w:rsid w:val="00FF2155"/>
    <w:rsid w:val="115D6742"/>
    <w:rsid w:val="419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986C2"/>
  <w15:docId w15:val="{C44ED2B6-A00B-4A52-97A5-15F30756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uiPriority w:val="99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7">
    <w:name w:val="header"/>
    <w:basedOn w:val="a"/>
    <w:link w:val="a8"/>
    <w:rsid w:val="00311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113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612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1411</Characters>
  <Application>Microsoft Office Word</Application>
  <DocSecurity>0</DocSecurity>
  <Lines>11</Lines>
  <Paragraphs>3</Paragraphs>
  <ScaleCrop>false</ScaleCrop>
  <Company>jobs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金晓玲</dc:creator>
  <cp:lastModifiedBy>wang.merry/汪月娥_甬_销售</cp:lastModifiedBy>
  <cp:revision>2</cp:revision>
  <dcterms:created xsi:type="dcterms:W3CDTF">2020-11-04T03:36:00Z</dcterms:created>
  <dcterms:modified xsi:type="dcterms:W3CDTF">2020-11-04T03:36:00Z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