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454545"/>
          <w:spacing w:val="-15"/>
          <w:sz w:val="36"/>
          <w:szCs w:val="36"/>
          <w:bdr w:val="none" w:color="auto" w:sz="0" w:space="0"/>
        </w:rPr>
        <w:t>温州市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454545"/>
          <w:spacing w:val="-15"/>
          <w:sz w:val="36"/>
          <w:szCs w:val="36"/>
          <w:bdr w:val="none" w:color="auto" w:sz="0" w:space="0"/>
        </w:rPr>
        <w:t>洞头区赴浙江海洋大学招聘2021届高校毕业生计划表</w:t>
      </w:r>
    </w:p>
    <w:bookmarkEnd w:id="0"/>
    <w:tbl>
      <w:tblPr>
        <w:tblW w:w="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50"/>
        <w:gridCol w:w="450"/>
        <w:gridCol w:w="450"/>
        <w:gridCol w:w="450"/>
        <w:gridCol w:w="630"/>
        <w:gridCol w:w="5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教师岗位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区教育局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小学信息技术教师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计算机及相关专业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2021年8月1日前取得小学及以上相应教师资格证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中小学数学教师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数学及相关专业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2021年8月1日前取得初中及以上相应教师资格证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中学社政教师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社政及相关专业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事业岗位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区经济商务和信息化局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下属事业单位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工作人员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生物科学、化学工程与工艺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市自然资源和规划局洞头分局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海洋技术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区交通运输局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港口航道与海岸工程、计算机科学与技术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区农业农村局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水产养殖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区市场监督管理局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食品科学与工程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国企岗位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洞头城市发展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有限公司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市场营销、财务管理、经济学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电气工程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经营管理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洞头旅游文化发展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有限公司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0"/>
          <w:sz w:val="28"/>
          <w:szCs w:val="28"/>
          <w:bdr w:val="none" w:color="auto" w:sz="0" w:space="0"/>
        </w:rPr>
        <w:t>联系电话：63482066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2020-10-30T06:09:00Z</dcterms:created>
  <dc:creator>Administrato</dc:creator>
  <cp:lastModifiedBy>黑皮</cp:lastModifiedBy>
  <dcterms:modified xsi:type="dcterms:W3CDTF">2020-10-30T06:09:23Z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