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49"/>
        <w:gridCol w:w="1047"/>
        <w:gridCol w:w="675"/>
        <w:gridCol w:w="1935"/>
        <w:gridCol w:w="1050"/>
        <w:gridCol w:w="915"/>
        <w:gridCol w:w="1336"/>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24" w:hRule="atLeast"/>
          <w:jc w:val="center"/>
        </w:trPr>
        <w:tc>
          <w:tcPr>
            <w:tcW w:w="10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ascii="仿宋_GB2312" w:eastAsia="仿宋_GB2312" w:cs="仿宋_GB2312" w:hAnsiTheme="minorHAnsi"/>
                <w:b/>
                <w:i w:val="0"/>
                <w:caps w:val="0"/>
                <w:color w:val="000000"/>
                <w:spacing w:val="0"/>
                <w:kern w:val="0"/>
                <w:sz w:val="24"/>
                <w:szCs w:val="24"/>
                <w:lang w:val="en-US" w:eastAsia="zh-CN" w:bidi="ar"/>
              </w:rPr>
              <w:t>岗位</w:t>
            </w:r>
          </w:p>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代码</w:t>
            </w:r>
          </w:p>
        </w:tc>
        <w:tc>
          <w:tcPr>
            <w:tcW w:w="10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岗位</w:t>
            </w:r>
          </w:p>
        </w:tc>
        <w:tc>
          <w:tcPr>
            <w:tcW w:w="6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70" w:right="-112"/>
              <w:jc w:val="center"/>
            </w:pPr>
            <w:r>
              <w:rPr>
                <w:rFonts w:hint="default" w:ascii="仿宋_GB2312" w:eastAsia="仿宋_GB2312" w:cs="仿宋_GB2312" w:hAnsiTheme="minorHAnsi"/>
                <w:b/>
                <w:i w:val="0"/>
                <w:caps w:val="0"/>
                <w:color w:val="000000"/>
                <w:spacing w:val="0"/>
                <w:kern w:val="0"/>
                <w:sz w:val="24"/>
                <w:szCs w:val="24"/>
                <w:lang w:val="en-US" w:eastAsia="zh-CN" w:bidi="ar"/>
              </w:rPr>
              <w:t>人数</w:t>
            </w:r>
          </w:p>
        </w:tc>
        <w:tc>
          <w:tcPr>
            <w:tcW w:w="19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专业</w:t>
            </w: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学历</w:t>
            </w:r>
          </w:p>
        </w:tc>
        <w:tc>
          <w:tcPr>
            <w:tcW w:w="9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学位</w:t>
            </w:r>
          </w:p>
        </w:tc>
        <w:tc>
          <w:tcPr>
            <w:tcW w:w="133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招录对象</w:t>
            </w:r>
          </w:p>
        </w:tc>
        <w:tc>
          <w:tcPr>
            <w:tcW w:w="13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仿宋_GB2312" w:eastAsia="仿宋_GB2312" w:cs="仿宋_GB2312" w:hAnsiTheme="minorHAnsi"/>
                <w:b/>
                <w:i w:val="0"/>
                <w:caps w:val="0"/>
                <w:color w:val="000000"/>
                <w:spacing w:val="0"/>
                <w:kern w:val="0"/>
                <w:sz w:val="24"/>
                <w:szCs w:val="24"/>
                <w:lang w:val="en-US" w:eastAsia="zh-CN" w:bidi="ar"/>
              </w:rPr>
              <w:t>其它条件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419" w:hRule="atLeast"/>
          <w:jc w:val="center"/>
        </w:trPr>
        <w:tc>
          <w:tcPr>
            <w:tcW w:w="10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202001</w:t>
            </w:r>
          </w:p>
        </w:tc>
        <w:tc>
          <w:tcPr>
            <w:tcW w:w="10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专技</w:t>
            </w:r>
          </w:p>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人员</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1</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卫生检验与检疫</w:t>
            </w:r>
          </w:p>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（B100407）</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全日制本科</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学士</w:t>
            </w:r>
          </w:p>
        </w:tc>
        <w:tc>
          <w:tcPr>
            <w:tcW w:w="13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应届毕业生</w:t>
            </w:r>
          </w:p>
        </w:tc>
        <w:tc>
          <w:tcPr>
            <w:tcW w:w="13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88" w:lineRule="atLeast"/>
              <w:ind w:left="0" w:right="0"/>
              <w:jc w:val="center"/>
              <w:textAlignment w:val="center"/>
            </w:pPr>
            <w:r>
              <w:rPr>
                <w:rFonts w:hint="eastAsia" w:ascii="宋体" w:hAnsi="宋体" w:eastAsia="宋体" w:cs="宋体"/>
                <w:i w:val="0"/>
                <w:caps w:val="0"/>
                <w:color w:val="000000"/>
                <w:spacing w:val="0"/>
                <w:kern w:val="0"/>
                <w:sz w:val="20"/>
                <w:szCs w:val="20"/>
                <w:lang w:val="en-US" w:eastAsia="zh-CN" w:bidi="ar"/>
              </w:rPr>
              <w:t>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89" w:hRule="atLeast"/>
          <w:jc w:val="center"/>
        </w:trPr>
        <w:tc>
          <w:tcPr>
            <w:tcW w:w="10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202002</w:t>
            </w:r>
          </w:p>
        </w:tc>
        <w:tc>
          <w:tcPr>
            <w:tcW w:w="10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专技</w:t>
            </w:r>
          </w:p>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人员</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1</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卫生检验与检疫</w:t>
            </w:r>
          </w:p>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（B100407）</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全日制本科</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学士</w:t>
            </w:r>
          </w:p>
        </w:tc>
        <w:tc>
          <w:tcPr>
            <w:tcW w:w="13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社会人员</w:t>
            </w:r>
          </w:p>
        </w:tc>
        <w:tc>
          <w:tcPr>
            <w:tcW w:w="13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88" w:lineRule="atLeast"/>
              <w:ind w:left="0" w:right="0"/>
              <w:jc w:val="center"/>
              <w:textAlignment w:val="center"/>
            </w:pPr>
            <w:r>
              <w:rPr>
                <w:rFonts w:hint="eastAsia" w:ascii="宋体" w:hAnsi="宋体" w:eastAsia="宋体" w:cs="宋体"/>
                <w:i w:val="0"/>
                <w:caps w:val="0"/>
                <w:color w:val="000000"/>
                <w:spacing w:val="0"/>
                <w:kern w:val="0"/>
                <w:sz w:val="20"/>
                <w:szCs w:val="20"/>
                <w:lang w:val="en-US" w:eastAsia="zh-CN" w:bidi="ar"/>
              </w:rPr>
              <w:t>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51" w:hRule="atLeast"/>
          <w:jc w:val="center"/>
        </w:trPr>
        <w:tc>
          <w:tcPr>
            <w:tcW w:w="10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202003</w:t>
            </w:r>
          </w:p>
        </w:tc>
        <w:tc>
          <w:tcPr>
            <w:tcW w:w="10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专技</w:t>
            </w:r>
          </w:p>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人员</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1</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流行病与卫生统计学（A100401）、公共卫生硕士（专业硕士）（A100407）、</w:t>
            </w:r>
          </w:p>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预防医学（B100701）</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全日制本科及以上</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学士及以上</w:t>
            </w:r>
          </w:p>
        </w:tc>
        <w:tc>
          <w:tcPr>
            <w:tcW w:w="13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应届毕业生</w:t>
            </w:r>
          </w:p>
        </w:tc>
        <w:tc>
          <w:tcPr>
            <w:tcW w:w="13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88" w:lineRule="atLeast"/>
              <w:ind w:left="0" w:right="0"/>
              <w:jc w:val="center"/>
              <w:textAlignment w:val="center"/>
            </w:pPr>
            <w:r>
              <w:rPr>
                <w:rFonts w:hint="eastAsia" w:ascii="宋体" w:hAnsi="宋体" w:eastAsia="宋体" w:cs="宋体"/>
                <w:i w:val="0"/>
                <w:caps w:val="0"/>
                <w:color w:val="000000"/>
                <w:spacing w:val="0"/>
                <w:kern w:val="0"/>
                <w:sz w:val="20"/>
                <w:szCs w:val="20"/>
                <w:lang w:val="en-US" w:eastAsia="zh-CN" w:bidi="ar"/>
              </w:rPr>
              <w:t>30周岁以下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31" w:hRule="atLeast"/>
          <w:jc w:val="center"/>
        </w:trPr>
        <w:tc>
          <w:tcPr>
            <w:tcW w:w="104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202004</w:t>
            </w:r>
          </w:p>
        </w:tc>
        <w:tc>
          <w:tcPr>
            <w:tcW w:w="10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专技</w:t>
            </w:r>
          </w:p>
          <w:p>
            <w:pPr>
              <w:keepNext w:val="0"/>
              <w:keepLines w:val="0"/>
              <w:widowControl/>
              <w:suppressLineNumbers w:val="0"/>
              <w:spacing w:before="0" w:beforeAutospacing="1" w:after="0" w:afterAutospacing="1" w:line="400" w:lineRule="atLeast"/>
              <w:ind w:left="-99" w:right="-106"/>
              <w:jc w:val="center"/>
            </w:pPr>
            <w:r>
              <w:rPr>
                <w:rFonts w:hint="default" w:ascii="仿宋_GB2312" w:eastAsia="仿宋_GB2312" w:cs="仿宋_GB2312" w:hAnsiTheme="minorHAnsi"/>
                <w:i w:val="0"/>
                <w:caps w:val="0"/>
                <w:color w:val="000000"/>
                <w:spacing w:val="0"/>
                <w:kern w:val="0"/>
                <w:sz w:val="24"/>
                <w:szCs w:val="24"/>
                <w:lang w:val="en-US" w:eastAsia="zh-CN" w:bidi="ar"/>
              </w:rPr>
              <w:t>人员</w:t>
            </w:r>
          </w:p>
        </w:tc>
        <w:tc>
          <w:tcPr>
            <w:tcW w:w="6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2</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流行病与卫生统计学（A100401）、</w:t>
            </w:r>
          </w:p>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公共卫生硕士（专业硕士）（A100407）、</w:t>
            </w:r>
          </w:p>
          <w:p>
            <w:pPr>
              <w:keepNext w:val="0"/>
              <w:keepLines w:val="0"/>
              <w:widowControl/>
              <w:suppressLineNumbers w:val="0"/>
              <w:spacing w:before="0" w:beforeAutospacing="1" w:after="0" w:afterAutospacing="1" w:line="400" w:lineRule="atLeast"/>
              <w:ind w:left="0" w:right="0"/>
              <w:jc w:val="left"/>
            </w:pPr>
            <w:r>
              <w:rPr>
                <w:rFonts w:hint="default" w:ascii="仿宋_GB2312" w:eastAsia="仿宋_GB2312" w:cs="仿宋_GB2312" w:hAnsiTheme="minorHAnsi"/>
                <w:i w:val="0"/>
                <w:caps w:val="0"/>
                <w:color w:val="000000"/>
                <w:spacing w:val="0"/>
                <w:kern w:val="0"/>
                <w:sz w:val="24"/>
                <w:szCs w:val="24"/>
                <w:lang w:val="en-US" w:eastAsia="zh-CN" w:bidi="ar"/>
              </w:rPr>
              <w:t>预防医学（B100701）</w:t>
            </w: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default" w:ascii="仿宋_GB2312" w:eastAsia="仿宋_GB2312" w:cs="仿宋_GB2312" w:hAnsiTheme="minorHAnsi"/>
                <w:i w:val="0"/>
                <w:caps w:val="0"/>
                <w:color w:val="000000"/>
                <w:spacing w:val="0"/>
                <w:kern w:val="0"/>
                <w:sz w:val="24"/>
                <w:szCs w:val="24"/>
                <w:lang w:val="en-US" w:eastAsia="zh-CN" w:bidi="ar"/>
              </w:rPr>
              <w:t>全日制本科及以上</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学士及以上</w:t>
            </w:r>
          </w:p>
        </w:tc>
        <w:tc>
          <w:tcPr>
            <w:tcW w:w="13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400" w:lineRule="atLeast"/>
              <w:ind w:left="0" w:right="-147"/>
              <w:jc w:val="center"/>
            </w:pPr>
            <w:r>
              <w:rPr>
                <w:rFonts w:hint="default" w:ascii="仿宋_GB2312" w:eastAsia="仿宋_GB2312" w:cs="仿宋_GB2312" w:hAnsiTheme="minorHAnsi"/>
                <w:i w:val="0"/>
                <w:caps w:val="0"/>
                <w:color w:val="000000"/>
                <w:spacing w:val="0"/>
                <w:kern w:val="0"/>
                <w:sz w:val="24"/>
                <w:szCs w:val="24"/>
                <w:lang w:val="en-US" w:eastAsia="zh-CN" w:bidi="ar"/>
              </w:rPr>
              <w:t>社会人员</w:t>
            </w:r>
          </w:p>
        </w:tc>
        <w:tc>
          <w:tcPr>
            <w:tcW w:w="13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288" w:lineRule="atLeast"/>
              <w:ind w:left="0" w:right="0"/>
              <w:jc w:val="center"/>
              <w:textAlignment w:val="center"/>
            </w:pPr>
            <w:r>
              <w:rPr>
                <w:rFonts w:hint="eastAsia" w:ascii="宋体" w:hAnsi="宋体" w:eastAsia="宋体" w:cs="宋体"/>
                <w:i w:val="0"/>
                <w:caps w:val="0"/>
                <w:color w:val="000000"/>
                <w:spacing w:val="0"/>
                <w:kern w:val="0"/>
                <w:sz w:val="20"/>
                <w:szCs w:val="20"/>
                <w:lang w:val="en-US" w:eastAsia="zh-CN" w:bidi="ar"/>
              </w:rPr>
              <w:t>30周岁以下</w:t>
            </w:r>
          </w:p>
        </w:tc>
      </w:tr>
    </w:tbl>
    <w:p>
      <w:r>
        <w:rPr>
          <w:rFonts w:ascii="仿宋_GB2312" w:hAnsi="宋体" w:eastAsia="仿宋_GB2312" w:cs="仿宋_GB2312"/>
          <w:i w:val="0"/>
          <w:caps w:val="0"/>
          <w:color w:val="000000"/>
          <w:spacing w:val="0"/>
          <w:sz w:val="24"/>
          <w:szCs w:val="24"/>
          <w:shd w:val="clear" w:fill="FFFFFF"/>
        </w:rPr>
        <w:t>说明：</w:t>
      </w:r>
      <w:r>
        <w:rPr>
          <w:rFonts w:hint="default" w:ascii="仿宋_GB2312" w:hAnsi="宋体" w:eastAsia="仿宋_GB2312" w:cs="仿宋_GB2312"/>
          <w:i w:val="0"/>
          <w:caps w:val="0"/>
          <w:color w:val="000000"/>
          <w:spacing w:val="0"/>
          <w:sz w:val="24"/>
          <w:szCs w:val="24"/>
          <w:shd w:val="clear" w:fill="FFFFFF"/>
        </w:rPr>
        <w:t>1、应届毕业生是指2020年9月30日前取得相应毕业证书的国内全日制普通高等院校毕业生；2、社会人员是指除应届毕业生外已取得国家承认学历的全日制普通高等院校毕业人员；3、年龄计算截止时间为接受报名的第一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4340D"/>
    <w:rsid w:val="51943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2020-10-29T08:09:00Z</dcterms:created>
  <dc:creator>ぺ灬cc果冻ル</dc:creator>
  <cp:lastModifiedBy>ぺ灬cc果冻ル</cp:lastModifiedBy>
  <dcterms:modified xsi:type="dcterms:W3CDTF">2020-10-29T08:11:19Z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