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ind w:left="0" w:right="0" w:firstLine="0"/>
        <w:jc w:val="center"/>
        <w:rPr>
          <w:rFonts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36"/>
          <w:szCs w:val="36"/>
          <w:bdr w:val="none" w:color="auto" w:sz="0" w:space="0"/>
          <w:shd w:val="clear" w:fill="FFFFFF"/>
        </w:rPr>
        <w:t>龙海市自然资源局2020年招募青年见习人员公告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333333"/>
          <w:spacing w:val="0"/>
          <w:sz w:val="16"/>
          <w:szCs w:val="16"/>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333333"/>
          <w:spacing w:val="0"/>
          <w:sz w:val="16"/>
          <w:szCs w:val="16"/>
        </w:rPr>
      </w:pPr>
      <w:r>
        <w:rPr>
          <w:rFonts w:hint="eastAsia" w:ascii="仿宋" w:hAnsi="仿宋" w:eastAsia="仿宋" w:cs="仿宋"/>
          <w:i w:val="0"/>
          <w:caps w:val="0"/>
          <w:color w:val="333333"/>
          <w:spacing w:val="0"/>
          <w:sz w:val="32"/>
          <w:szCs w:val="32"/>
          <w:bdr w:val="none" w:color="auto" w:sz="0" w:space="0"/>
          <w:shd w:val="clear" w:fill="FFFFFF"/>
        </w:rPr>
        <w:t>为贯彻落实《福建省人民政府关于印发进一步做好稳就业保就业工作若干措施的通知》（闽政〔2020〕4号）文件精神，帮助青年加强岗位实践锻炼、提升就业能力，根据《漳州市青年见习计划暂行实施办法》（漳人社〔2019〕109号），现面向社会招募就业青年见习人员10人，有关事宜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333333"/>
          <w:spacing w:val="0"/>
          <w:sz w:val="16"/>
          <w:szCs w:val="16"/>
        </w:rPr>
      </w:pPr>
      <w:r>
        <w:rPr>
          <w:rFonts w:hint="eastAsia" w:ascii="仿宋" w:hAnsi="仿宋" w:eastAsia="仿宋" w:cs="仿宋"/>
          <w:b/>
          <w:i w:val="0"/>
          <w:caps w:val="0"/>
          <w:color w:val="333333"/>
          <w:spacing w:val="0"/>
          <w:sz w:val="32"/>
          <w:szCs w:val="32"/>
          <w:bdr w:val="none" w:color="auto" w:sz="0" w:space="0"/>
          <w:shd w:val="clear" w:fill="FFFFFF"/>
        </w:rPr>
        <w:t>一、招募对象和条件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333333"/>
          <w:spacing w:val="0"/>
          <w:sz w:val="16"/>
          <w:szCs w:val="16"/>
        </w:rPr>
      </w:pPr>
      <w:r>
        <w:rPr>
          <w:rFonts w:hint="eastAsia" w:ascii="仿宋" w:hAnsi="仿宋" w:eastAsia="仿宋" w:cs="仿宋"/>
          <w:i w:val="0"/>
          <w:caps w:val="0"/>
          <w:color w:val="333333"/>
          <w:spacing w:val="0"/>
          <w:sz w:val="32"/>
          <w:szCs w:val="32"/>
          <w:bdr w:val="none" w:color="auto" w:sz="0" w:space="0"/>
          <w:shd w:val="clear" w:fill="FFFFFF"/>
        </w:rPr>
        <w:t>1.具有中华人民共和国国籍，遵守宪法和法律，具有良好的品行和适应岗位要求的身体条件，无违法乱纪行为、未纳入诚信体系黑名单；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333333"/>
          <w:spacing w:val="0"/>
          <w:sz w:val="16"/>
          <w:szCs w:val="16"/>
        </w:rPr>
      </w:pPr>
      <w:r>
        <w:rPr>
          <w:rFonts w:hint="eastAsia" w:ascii="仿宋" w:hAnsi="仿宋" w:eastAsia="仿宋" w:cs="仿宋"/>
          <w:i w:val="0"/>
          <w:caps w:val="0"/>
          <w:color w:val="333333"/>
          <w:spacing w:val="0"/>
          <w:sz w:val="32"/>
          <w:szCs w:val="32"/>
          <w:bdr w:val="none" w:color="auto" w:sz="0" w:space="0"/>
          <w:shd w:val="clear" w:fill="FFFFFF"/>
        </w:rPr>
        <w:t>2.为人正直务实、积极上进，服从工作安排、工作认真负责，具有良好的语言文字表达能力；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333333"/>
          <w:spacing w:val="0"/>
          <w:sz w:val="16"/>
          <w:szCs w:val="16"/>
        </w:rPr>
      </w:pPr>
      <w:r>
        <w:rPr>
          <w:rFonts w:hint="eastAsia" w:ascii="仿宋" w:hAnsi="仿宋" w:eastAsia="仿宋" w:cs="仿宋"/>
          <w:i w:val="0"/>
          <w:caps w:val="0"/>
          <w:color w:val="333333"/>
          <w:spacing w:val="0"/>
          <w:sz w:val="32"/>
          <w:szCs w:val="32"/>
          <w:bdr w:val="none" w:color="auto" w:sz="0" w:space="0"/>
          <w:shd w:val="clear" w:fill="FFFFFF"/>
        </w:rPr>
        <w:t>3.对象及学历要求：离校2年内未就业的大中专及以上（含技校）毕业生和16-24岁失业青年；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333333"/>
          <w:spacing w:val="0"/>
          <w:sz w:val="16"/>
          <w:szCs w:val="16"/>
        </w:rPr>
      </w:pPr>
      <w:r>
        <w:rPr>
          <w:rFonts w:hint="eastAsia" w:ascii="仿宋" w:hAnsi="仿宋" w:eastAsia="仿宋" w:cs="仿宋"/>
          <w:i w:val="0"/>
          <w:caps w:val="0"/>
          <w:color w:val="333333"/>
          <w:spacing w:val="0"/>
          <w:sz w:val="32"/>
          <w:szCs w:val="32"/>
          <w:bdr w:val="none" w:color="auto" w:sz="0" w:space="0"/>
          <w:shd w:val="clear" w:fill="FFFFFF"/>
        </w:rPr>
        <w:t>4.具备招募岗位所需要的其他条件。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333333"/>
          <w:spacing w:val="0"/>
          <w:sz w:val="16"/>
          <w:szCs w:val="16"/>
        </w:rPr>
      </w:pPr>
      <w:r>
        <w:rPr>
          <w:rFonts w:hint="eastAsia" w:ascii="仿宋" w:hAnsi="仿宋" w:eastAsia="仿宋" w:cs="仿宋"/>
          <w:i w:val="0"/>
          <w:caps w:val="0"/>
          <w:color w:val="333333"/>
          <w:spacing w:val="0"/>
          <w:sz w:val="32"/>
          <w:szCs w:val="32"/>
          <w:bdr w:val="none" w:color="auto" w:sz="0" w:space="0"/>
          <w:shd w:val="clear" w:fill="FFFFFF"/>
        </w:rPr>
        <w:t>（注：离校2年内未就业，是指申请参加见习前无用人单位为其办理过社会保险且距离毕业证书记录的签发时间不超过2年；16-24岁失业青年，是指申请参加就业见习前未就业且未缴交过社会保险费的16-24岁失业青年。已享受过见习补贴的人员不纳入见习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b/>
          <w:i w:val="0"/>
          <w:caps w:val="0"/>
          <w:color w:val="333333"/>
          <w:spacing w:val="0"/>
          <w:sz w:val="16"/>
          <w:szCs w:val="16"/>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16"/>
          <w:szCs w:val="16"/>
        </w:rPr>
      </w:pPr>
      <w:r>
        <w:rPr>
          <w:rFonts w:hint="eastAsia" w:ascii="仿宋" w:hAnsi="仿宋" w:eastAsia="仿宋" w:cs="仿宋"/>
          <w:b/>
          <w:i w:val="0"/>
          <w:caps w:val="0"/>
          <w:color w:val="333333"/>
          <w:spacing w:val="0"/>
          <w:sz w:val="32"/>
          <w:szCs w:val="32"/>
          <w:bdr w:val="none" w:color="auto" w:sz="0" w:space="0"/>
          <w:shd w:val="clear" w:fill="FFFFFF"/>
        </w:rPr>
        <w:t>二、招募见习岗位</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130"/>
        <w:gridCol w:w="2738"/>
        <w:gridCol w:w="2022"/>
        <w:gridCol w:w="840"/>
        <w:gridCol w:w="12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130"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见习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岗位</w:t>
            </w:r>
          </w:p>
        </w:tc>
        <w:tc>
          <w:tcPr>
            <w:tcW w:w="2738"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岗位</w:t>
            </w:r>
          </w:p>
        </w:tc>
        <w:tc>
          <w:tcPr>
            <w:tcW w:w="2022"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专业名称</w:t>
            </w:r>
          </w:p>
        </w:tc>
        <w:tc>
          <w:tcPr>
            <w:tcW w:w="84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学历</w:t>
            </w:r>
          </w:p>
        </w:tc>
        <w:tc>
          <w:tcPr>
            <w:tcW w:w="124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人数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3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4"/>
                <w:szCs w:val="14"/>
              </w:rPr>
            </w:pPr>
          </w:p>
        </w:tc>
        <w:tc>
          <w:tcPr>
            <w:tcW w:w="273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所有者权益和开发利用股</w:t>
            </w:r>
          </w:p>
        </w:tc>
        <w:tc>
          <w:tcPr>
            <w:tcW w:w="20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地理科学类</w:t>
            </w:r>
          </w:p>
        </w:tc>
        <w:tc>
          <w:tcPr>
            <w:tcW w:w="8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本科</w:t>
            </w:r>
          </w:p>
        </w:tc>
        <w:tc>
          <w:tcPr>
            <w:tcW w:w="12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3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4"/>
                <w:szCs w:val="14"/>
              </w:rPr>
            </w:pPr>
          </w:p>
        </w:tc>
        <w:tc>
          <w:tcPr>
            <w:tcW w:w="273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国土空间用途管制股</w:t>
            </w:r>
          </w:p>
        </w:tc>
        <w:tc>
          <w:tcPr>
            <w:tcW w:w="20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计算机信息管理类</w:t>
            </w:r>
          </w:p>
        </w:tc>
        <w:tc>
          <w:tcPr>
            <w:tcW w:w="8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本科</w:t>
            </w:r>
          </w:p>
        </w:tc>
        <w:tc>
          <w:tcPr>
            <w:tcW w:w="12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3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4"/>
                <w:szCs w:val="14"/>
              </w:rPr>
            </w:pPr>
          </w:p>
        </w:tc>
        <w:tc>
          <w:tcPr>
            <w:tcW w:w="273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国土空间规划股</w:t>
            </w:r>
          </w:p>
        </w:tc>
        <w:tc>
          <w:tcPr>
            <w:tcW w:w="20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土建类</w:t>
            </w:r>
          </w:p>
        </w:tc>
        <w:tc>
          <w:tcPr>
            <w:tcW w:w="8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本科</w:t>
            </w:r>
          </w:p>
        </w:tc>
        <w:tc>
          <w:tcPr>
            <w:tcW w:w="12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53" w:hRule="atLeast"/>
          <w:jc w:val="center"/>
        </w:trPr>
        <w:tc>
          <w:tcPr>
            <w:tcW w:w="113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4"/>
                <w:szCs w:val="14"/>
              </w:rPr>
            </w:pPr>
          </w:p>
        </w:tc>
        <w:tc>
          <w:tcPr>
            <w:tcW w:w="273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规划服务中心</w:t>
            </w:r>
          </w:p>
        </w:tc>
        <w:tc>
          <w:tcPr>
            <w:tcW w:w="20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测绘类</w:t>
            </w:r>
          </w:p>
        </w:tc>
        <w:tc>
          <w:tcPr>
            <w:tcW w:w="8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本科</w:t>
            </w:r>
          </w:p>
        </w:tc>
        <w:tc>
          <w:tcPr>
            <w:tcW w:w="12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9" w:hRule="atLeast"/>
          <w:jc w:val="center"/>
        </w:trPr>
        <w:tc>
          <w:tcPr>
            <w:tcW w:w="113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4"/>
                <w:szCs w:val="14"/>
              </w:rPr>
            </w:pPr>
          </w:p>
        </w:tc>
        <w:tc>
          <w:tcPr>
            <w:tcW w:w="273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龙海市自然资源监察大队</w:t>
            </w:r>
          </w:p>
        </w:tc>
        <w:tc>
          <w:tcPr>
            <w:tcW w:w="20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法学类</w:t>
            </w:r>
          </w:p>
        </w:tc>
        <w:tc>
          <w:tcPr>
            <w:tcW w:w="8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本科</w:t>
            </w:r>
          </w:p>
        </w:tc>
        <w:tc>
          <w:tcPr>
            <w:tcW w:w="12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113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4"/>
                <w:szCs w:val="14"/>
              </w:rPr>
            </w:pPr>
          </w:p>
        </w:tc>
        <w:tc>
          <w:tcPr>
            <w:tcW w:w="2738"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基层自然资源所</w:t>
            </w:r>
          </w:p>
        </w:tc>
        <w:tc>
          <w:tcPr>
            <w:tcW w:w="20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公共管理类</w:t>
            </w:r>
          </w:p>
        </w:tc>
        <w:tc>
          <w:tcPr>
            <w:tcW w:w="8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本科</w:t>
            </w:r>
          </w:p>
        </w:tc>
        <w:tc>
          <w:tcPr>
            <w:tcW w:w="12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60" w:lineRule="atLeast"/>
              <w:ind w:left="0" w:right="0"/>
              <w:jc w:val="center"/>
            </w:pPr>
            <w:r>
              <w:rPr>
                <w:rFonts w:hint="eastAsia" w:ascii="仿宋" w:hAnsi="仿宋" w:eastAsia="仿宋" w:cs="仿宋"/>
                <w:i w:val="0"/>
                <w:caps w:val="0"/>
                <w:color w:val="333333"/>
                <w:spacing w:val="0"/>
                <w:sz w:val="32"/>
                <w:szCs w:val="32"/>
                <w:bdr w:val="none" w:color="auto" w:sz="0" w:space="0"/>
              </w:rPr>
              <w:t>3</w:t>
            </w:r>
          </w:p>
        </w:tc>
      </w:tr>
    </w:tbl>
    <w:p>
      <w:pPr>
        <w:pStyle w:val="2"/>
        <w:widowControl w:val="0"/>
        <w:spacing w:line="240" w:lineRule="exact"/>
        <w:ind w:left="1228" w:leftChars="0" w:hanging="1228" w:hangingChars="384"/>
        <w:jc w:val="both"/>
        <w:textAlignment w:val="auto"/>
        <w:rPr>
          <w:rStyle w:val="11"/>
          <w:rFonts w:ascii="仿宋" w:hAnsi="仿宋" w:eastAsia="仿宋"/>
          <w:color w:val="000000"/>
          <w:sz w:val="32"/>
          <w:szCs w:val="32"/>
          <w:highlight w:val="none"/>
        </w:rPr>
      </w:pPr>
      <w:bookmarkStart w:id="0" w:name="_GoBack"/>
      <w:bookmarkEnd w:id="0"/>
    </w:p>
    <w:sectPr>
      <w:pgSz w:w="11906" w:h="16838"/>
      <w:pgMar w:top="1270" w:right="1803" w:bottom="873"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doNotUseMarginsForDrawingGridOrigin w:val="1"/>
  <w:drawingGridHorizontalOrigin w:val="1800"/>
  <w:drawingGridVerticalOrigin w:val="1440"/>
  <w:noPunctuationKerning w:val="1"/>
  <w:characterSpacingControl w:val="doNotCompress"/>
  <w:noLineBreaksAfter w:lang="zh-CN" w:val="$([{£¥·‘“〈《「『【〔〖〝﹙﹛﹝＄（．［｛￡￥"/>
  <w:noLineBreaksBefore w:lang="zh-CN" w:val="!%),.:;&gt;?]}¢¨°·ˇˉ―‖’”…‰′″›℃∶、。〃〉》」』】〕〗〞︶︺︾﹀﹄﹚﹜﹞！＂％＇），．：；？］｀｜｝～￠"/>
  <w:compat>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9E"/>
    <w:rsid w:val="000F5A9E"/>
    <w:rsid w:val="001604DD"/>
    <w:rsid w:val="001A6C1F"/>
    <w:rsid w:val="0025790C"/>
    <w:rsid w:val="004511FC"/>
    <w:rsid w:val="00615660"/>
    <w:rsid w:val="0062560B"/>
    <w:rsid w:val="006C4F0F"/>
    <w:rsid w:val="006F01AF"/>
    <w:rsid w:val="008534E6"/>
    <w:rsid w:val="009B012A"/>
    <w:rsid w:val="00B171EC"/>
    <w:rsid w:val="00D9199E"/>
    <w:rsid w:val="00E13ED1"/>
    <w:rsid w:val="015D6959"/>
    <w:rsid w:val="068803B8"/>
    <w:rsid w:val="09431193"/>
    <w:rsid w:val="09A35E9D"/>
    <w:rsid w:val="0D0B65EF"/>
    <w:rsid w:val="10A45381"/>
    <w:rsid w:val="162D4EEB"/>
    <w:rsid w:val="16C94C9A"/>
    <w:rsid w:val="16DA532C"/>
    <w:rsid w:val="17387897"/>
    <w:rsid w:val="23DF6544"/>
    <w:rsid w:val="26DE0381"/>
    <w:rsid w:val="284F29AA"/>
    <w:rsid w:val="28F2356A"/>
    <w:rsid w:val="2DBD22AC"/>
    <w:rsid w:val="2F0855D1"/>
    <w:rsid w:val="30A143EB"/>
    <w:rsid w:val="351877D2"/>
    <w:rsid w:val="40E4685C"/>
    <w:rsid w:val="47EA2491"/>
    <w:rsid w:val="4B351E6A"/>
    <w:rsid w:val="4C6B650A"/>
    <w:rsid w:val="4D800A7E"/>
    <w:rsid w:val="52914727"/>
    <w:rsid w:val="532669BF"/>
    <w:rsid w:val="564849AD"/>
    <w:rsid w:val="57E82DE0"/>
    <w:rsid w:val="5AEA4E10"/>
    <w:rsid w:val="5F9C71F6"/>
    <w:rsid w:val="6173027B"/>
    <w:rsid w:val="653316BA"/>
    <w:rsid w:val="67B66770"/>
    <w:rsid w:val="680B579C"/>
    <w:rsid w:val="6A52039E"/>
    <w:rsid w:val="6AC575FA"/>
    <w:rsid w:val="6B5B612F"/>
    <w:rsid w:val="6E565F55"/>
    <w:rsid w:val="6F1C49DD"/>
    <w:rsid w:val="702D259E"/>
    <w:rsid w:val="73972850"/>
    <w:rsid w:val="75150600"/>
    <w:rsid w:val="75792490"/>
    <w:rsid w:val="76E26089"/>
    <w:rsid w:val="7F2D6B3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99"/>
    <w:pPr>
      <w:spacing w:line="280" w:lineRule="exact"/>
      <w:ind w:left="810" w:leftChars="1" w:hanging="808" w:hangingChars="385"/>
    </w:pPr>
    <w:rPr>
      <w:rFonts w:ascii="宋体" w:hAnsi="宋体"/>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000000" w:sz="6" w:space="1"/>
      </w:pBdr>
      <w:tabs>
        <w:tab w:val="center" w:pos="4153"/>
        <w:tab w:val="right" w:pos="8306"/>
      </w:tabs>
      <w:snapToGrid w:val="0"/>
      <w:jc w:val="center"/>
    </w:pPr>
    <w:rPr>
      <w:sz w:val="18"/>
      <w:szCs w:val="18"/>
    </w:rPr>
  </w:style>
  <w:style w:type="paragraph" w:styleId="5">
    <w:name w:val="Normal (Web)"/>
    <w:basedOn w:val="1"/>
    <w:qFormat/>
    <w:uiPriority w:val="0"/>
    <w:pPr>
      <w:widowControl/>
      <w:jc w:val="left"/>
    </w:pPr>
    <w:rPr>
      <w:rFonts w:ascii="宋体" w:hAnsi="宋体" w:cs="宋体"/>
      <w:kern w:val="0"/>
      <w:sz w:val="24"/>
    </w:rPr>
  </w:style>
  <w:style w:type="character" w:customStyle="1" w:styleId="8">
    <w:name w:val="Body Text Indent Char"/>
    <w:basedOn w:val="7"/>
    <w:link w:val="2"/>
    <w:semiHidden/>
    <w:qFormat/>
    <w:locked/>
    <w:uiPriority w:val="99"/>
    <w:rPr>
      <w:rFonts w:ascii="Calibri" w:hAnsi="Calibri" w:cs="Times New Roman"/>
      <w:sz w:val="24"/>
      <w:szCs w:val="24"/>
    </w:rPr>
  </w:style>
  <w:style w:type="character" w:customStyle="1" w:styleId="9">
    <w:name w:val="Footer Char"/>
    <w:basedOn w:val="7"/>
    <w:link w:val="3"/>
    <w:semiHidden/>
    <w:qFormat/>
    <w:locked/>
    <w:uiPriority w:val="99"/>
    <w:rPr>
      <w:rFonts w:ascii="Calibri" w:hAnsi="Calibri" w:cs="Times New Roman"/>
      <w:sz w:val="18"/>
      <w:szCs w:val="18"/>
    </w:rPr>
  </w:style>
  <w:style w:type="character" w:customStyle="1" w:styleId="10">
    <w:name w:val="Header Char"/>
    <w:basedOn w:val="7"/>
    <w:link w:val="4"/>
    <w:semiHidden/>
    <w:qFormat/>
    <w:locked/>
    <w:uiPriority w:val="99"/>
    <w:rPr>
      <w:rFonts w:ascii="Calibri" w:hAnsi="Calibri" w:cs="Times New Roman"/>
      <w:sz w:val="18"/>
      <w:szCs w:val="18"/>
    </w:rPr>
  </w:style>
  <w:style w:type="character" w:customStyle="1" w:styleId="11">
    <w:name w:val="NormalCharacter"/>
    <w:semiHidden/>
    <w:qFormat/>
    <w:uiPriority w:val="99"/>
  </w:style>
  <w:style w:type="table" w:customStyle="1" w:styleId="12">
    <w:name w:val="TableNormal"/>
    <w:semiHidden/>
    <w:qFormat/>
    <w:uiPriority w:val="99"/>
    <w:rPr>
      <w:kern w:val="0"/>
      <w:sz w:val="20"/>
      <w:szCs w:val="20"/>
    </w:rPr>
    <w:tblPr>
      <w:tblCellMar>
        <w:top w:w="0" w:type="dxa"/>
        <w:left w:w="0" w:type="dxa"/>
        <w:bottom w:w="0" w:type="dxa"/>
        <w:right w:w="0" w:type="dxa"/>
      </w:tblCellMar>
    </w:tblPr>
  </w:style>
  <w:style w:type="character" w:customStyle="1" w:styleId="13">
    <w:name w:val="PageNumber"/>
    <w:basedOn w:val="11"/>
    <w:qFormat/>
    <w:uiPriority w:val="99"/>
    <w:rPr>
      <w:rFonts w:cs="Times New Roman"/>
    </w:rPr>
  </w:style>
  <w:style w:type="paragraph" w:customStyle="1" w:styleId="14">
    <w:name w:val="HtmlNormal"/>
    <w:basedOn w:val="1"/>
    <w:qFormat/>
    <w:uiPriority w:val="99"/>
    <w:pPr>
      <w:spacing w:before="100" w:beforeAutospacing="1" w:after="100" w:afterAutospacing="1"/>
      <w:jc w:val="left"/>
    </w:pPr>
    <w:rPr>
      <w:rFonts w:ascii="宋体" w:hAnsi="宋体"/>
      <w:color w:val="000000"/>
      <w:kern w:val="0"/>
      <w:sz w:val="24"/>
    </w:rPr>
  </w:style>
  <w:style w:type="character" w:customStyle="1" w:styleId="15">
    <w:name w:val="font01"/>
    <w:basedOn w:val="7"/>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1693</Words>
  <Characters>9652</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2019-10-11T08:24:00Z</dcterms:created>
  <dc:creator>Administrator</dc:creator>
  <cp:lastModifiedBy>卜荣荣</cp:lastModifiedBy>
  <cp:lastPrinted>2020-08-21T13:50:00Z</cp:lastPrinted>
  <dcterms:modified xsi:type="dcterms:W3CDTF">2020-09-29T03:59:12Z</dcterms:modified>
  <dc:title>永州市江永县2019年下半年园区及基层</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