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黑体" w:eastAsia="黑体" w:cs="黑体"/>
          <w:i w:val="0"/>
          <w:caps w:val="0"/>
          <w:color w:val="auto"/>
          <w:spacing w:val="0"/>
          <w:sz w:val="32"/>
          <w:szCs w:val="32"/>
          <w:u w:val="none"/>
          <w:shd w:val="clear" w:color="auto" w:fill="FFFFFF"/>
          <w:lang w:val="en-US" w:eastAsia="zh-CN"/>
        </w:rPr>
      </w:pPr>
      <w:r>
        <w:rPr>
          <w:rFonts w:hint="eastAsia" w:ascii="黑体" w:hAnsi="黑体" w:eastAsia="黑体" w:cs="黑体"/>
          <w:i w:val="0"/>
          <w:caps w:val="0"/>
          <w:color w:val="auto"/>
          <w:spacing w:val="0"/>
          <w:sz w:val="32"/>
          <w:szCs w:val="32"/>
          <w:u w:val="none"/>
          <w:shd w:val="clear" w:color="auto" w:fill="FFFFFF"/>
          <w:lang w:val="en-US" w:eastAsia="zh-CN"/>
        </w:rPr>
        <w:t>附件3</w:t>
      </w:r>
    </w:p>
    <w:p>
      <w:pPr>
        <w:keepNext w:val="0"/>
        <w:keepLines w:val="0"/>
        <w:pageBreakBefore w:val="0"/>
        <w:widowControl w:val="0"/>
        <w:tabs>
          <w:tab w:val="left" w:pos="2263"/>
        </w:tabs>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Style w:val="6"/>
          <w:rFonts w:hint="eastAsia" w:ascii="方正小标宋简体" w:hAnsi="方正小标宋简体" w:eastAsia="方正小标宋简体" w:cs="方正小标宋简体"/>
          <w:i w:val="0"/>
          <w:caps w:val="0"/>
          <w:color w:val="auto"/>
          <w:spacing w:val="0"/>
          <w:sz w:val="44"/>
          <w:szCs w:val="44"/>
          <w:u w:val="none"/>
          <w:shd w:val="clear" w:color="auto" w:fill="FFFFFF"/>
        </w:rPr>
      </w:pPr>
    </w:p>
    <w:p>
      <w:pPr>
        <w:keepNext w:val="0"/>
        <w:keepLines w:val="0"/>
        <w:pageBreakBefore w:val="0"/>
        <w:widowControl w:val="0"/>
        <w:tabs>
          <w:tab w:val="left" w:pos="2263"/>
        </w:tabs>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Style w:val="6"/>
          <w:rFonts w:hint="eastAsia" w:ascii="方正小标宋简体" w:hAnsi="方正小标宋简体" w:eastAsia="方正小标宋简体" w:cs="方正小标宋简体"/>
          <w:i w:val="0"/>
          <w:caps w:val="0"/>
          <w:color w:val="auto"/>
          <w:spacing w:val="0"/>
          <w:sz w:val="44"/>
          <w:szCs w:val="44"/>
          <w:u w:val="none"/>
          <w:shd w:val="clear" w:color="auto" w:fill="FFFFFF"/>
          <w:lang w:val="en-US" w:eastAsia="zh-CN"/>
        </w:rPr>
      </w:pPr>
      <w:r>
        <w:rPr>
          <w:rStyle w:val="6"/>
          <w:rFonts w:hint="eastAsia" w:ascii="方正小标宋简体" w:hAnsi="方正小标宋简体" w:eastAsia="方正小标宋简体" w:cs="方正小标宋简体"/>
          <w:i w:val="0"/>
          <w:caps w:val="0"/>
          <w:color w:val="auto"/>
          <w:spacing w:val="0"/>
          <w:sz w:val="44"/>
          <w:szCs w:val="44"/>
          <w:u w:val="none"/>
          <w:shd w:val="clear" w:color="auto" w:fill="FFFFFF"/>
        </w:rPr>
        <w:t>余庆县</w:t>
      </w:r>
      <w:r>
        <w:rPr>
          <w:rStyle w:val="6"/>
          <w:rFonts w:hint="eastAsia" w:ascii="方正小标宋简体" w:hAnsi="方正小标宋简体" w:eastAsia="方正小标宋简体" w:cs="方正小标宋简体"/>
          <w:i w:val="0"/>
          <w:caps w:val="0"/>
          <w:color w:val="auto"/>
          <w:spacing w:val="0"/>
          <w:sz w:val="44"/>
          <w:szCs w:val="44"/>
          <w:u w:val="none"/>
          <w:shd w:val="clear" w:color="auto" w:fill="FFFFFF"/>
          <w:lang w:val="en-US" w:eastAsia="zh-CN"/>
        </w:rPr>
        <w:t>卫生健康系统2020年</w:t>
      </w:r>
    </w:p>
    <w:p>
      <w:pPr>
        <w:keepNext w:val="0"/>
        <w:keepLines w:val="0"/>
        <w:pageBreakBefore w:val="0"/>
        <w:widowControl w:val="0"/>
        <w:tabs>
          <w:tab w:val="left" w:pos="2263"/>
        </w:tabs>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Style w:val="6"/>
          <w:rFonts w:hint="eastAsia" w:ascii="方正小标宋简体" w:hAnsi="方正小标宋简体" w:eastAsia="方正小标宋简体" w:cs="方正小标宋简体"/>
          <w:i w:val="0"/>
          <w:caps w:val="0"/>
          <w:color w:val="auto"/>
          <w:spacing w:val="0"/>
          <w:sz w:val="44"/>
          <w:szCs w:val="44"/>
          <w:u w:val="none"/>
          <w:shd w:val="clear" w:color="auto" w:fill="FFFFFF"/>
          <w:lang w:val="en-US" w:eastAsia="zh-CN"/>
        </w:rPr>
      </w:pPr>
      <w:r>
        <w:rPr>
          <w:rStyle w:val="6"/>
          <w:rFonts w:hint="eastAsia" w:ascii="方正小标宋简体" w:hAnsi="方正小标宋简体" w:eastAsia="方正小标宋简体" w:cs="方正小标宋简体"/>
          <w:i w:val="0"/>
          <w:caps w:val="0"/>
          <w:color w:val="auto"/>
          <w:spacing w:val="0"/>
          <w:sz w:val="44"/>
          <w:szCs w:val="44"/>
          <w:u w:val="none"/>
          <w:shd w:val="clear" w:color="auto" w:fill="FFFFFF"/>
          <w:lang w:val="en-US" w:eastAsia="zh-CN"/>
        </w:rPr>
        <w:t>公开选调工作人员疫情防控指南</w:t>
      </w:r>
    </w:p>
    <w:p>
      <w:pPr>
        <w:pStyle w:val="2"/>
        <w:pageBreakBefore w:val="0"/>
        <w:widowControl w:val="0"/>
        <w:kinsoku/>
        <w:wordWrap/>
        <w:overflowPunct/>
        <w:topLinePunct w:val="0"/>
        <w:autoSpaceDE/>
        <w:autoSpaceDN/>
        <w:bidi w:val="0"/>
        <w:adjustRightInd/>
        <w:snapToGrid/>
        <w:spacing w:before="0" w:after="0" w:line="620" w:lineRule="exact"/>
        <w:ind w:left="0" w:leftChars="0" w:right="0" w:rightChars="0" w:firstLine="0" w:firstLineChars="0"/>
        <w:textAlignment w:val="auto"/>
        <w:rPr>
          <w:rFonts w:hint="eastAsia"/>
          <w:lang w:val="en-US" w:eastAsia="zh-CN"/>
        </w:rPr>
      </w:pPr>
    </w:p>
    <w:p>
      <w:pPr>
        <w:keepNext w:val="0"/>
        <w:keepLines w:val="0"/>
        <w:pageBreakBefore w:val="0"/>
        <w:widowControl w:val="0"/>
        <w:tabs>
          <w:tab w:val="left" w:pos="2263"/>
        </w:tabs>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为有效防控新型冠状病毒传播，保障新冠疫情期间本土选调工作顺利进行，根据《省应对新冠肺炎疫情防控领导小组关于做好新冠肺炎疫情常态化防控工作的通知》（黔府办发电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2020〕150号）、《新型冠状病毒肺炎防控方案》（第六版）、《新型冠状病毒诊疗方案》（试行第七版）等有</w:t>
      </w:r>
      <w:bookmarkStart w:id="0" w:name="_GoBack"/>
      <w:bookmarkEnd w:id="0"/>
      <w:r>
        <w:rPr>
          <w:rFonts w:hint="eastAsia" w:ascii="仿宋_GB2312" w:hAnsi="仿宋_GB2312" w:eastAsia="仿宋_GB2312" w:cs="仿宋_GB2312"/>
          <w:sz w:val="32"/>
          <w:szCs w:val="32"/>
          <w:lang w:val="en-US" w:eastAsia="zh-CN"/>
        </w:rPr>
        <w:t>关文件精神，结合当前疫情形势和我单位实际，特制订《余庆县卫生健康系统2020年公开选调工作人员疫情防控指南》（以下简称《指南》）。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习近平新时代中国特色社会主义思想为指导，坚决贯彻执行党中央国务院决策部署和省委省政府工作要求，落实好常态化疫情防控要求，在抓紧抓实抓细常态化疫情防控各项工作同时，认真组织好本次公开招聘考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（二）开展培训。根据防控工作的需要，对参加的考务工作的人员进行针对性培训，确保人人知晓防控知识，掌握防控技能，熟悉处置流程等。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（三）做好物资保障。做好防护物品、消毒药剂、器械准备，确保考务工作正常开展。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二、重点环节管理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（一）笔试考场管理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点出入口管理。考试开考前至考试结束，考场出入口应安排人员全程值守，配备红外线测温仪、水银温度计、速干手消毒剂、贵州健康码二维码等。考生及所有进入考场区域人员必须佩戴口罩，凭有效居民身份证和准考证并通过体温检测、贵州健康码检查和流行病学史询问等合格后方可错峰进入考场，具体安排详见准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场管理。考试前后必须对考场进行全面的清洁消毒，考生进入考场全程必须佩戴口罩（查验身份时应配合摘下口罩，查验完毕随即戴上），考场准备速干手消毒剂。考场每位考生座位间隔需在1米以上。考试期间，开展强制性通风换气，保持考场区域通风顺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3.考点电梯管理。考试前后必须对电梯间进行清洁消毒，电梯间外备避污纸（抽纸）、垃圾篓。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4.考点办公室管理。考试前后必须对办公室进行全面清洁消毒。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5.考务人员管理。所有考务工作人员必须佩戴外科口罩和乳胶手套，服从现场管理人员有关防控方面的安排、调度。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（二）现场确认管理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入口管理。出入口应安排人员全程值守，配备红外线测温仪、水银温度计、速干手消毒剂、贵州健康码二维码等。现场确认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2.确认现场管理。确认现场必须进行全面清洁消毒，进入现场人员全程必须佩戴口罩，每位进入确认现场人员之间间隔需在1米以上，保持现场区域通风顺畅。 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3.工作人员管理。工作人员全程必须佩戴外科口罩和乳胶手套，与现场确认人员保持社交距离，避免人员聚集。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4.资料管理。所有现场收集的考生资料集中放置一周后才正常使用。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（三）面试管理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入口管理。出入口应安排人员全程值守，配备红外线测温仪、水银温度计、速干手消毒剂、贵州健康码二维码等。面试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2.面试考场管理。面试考场必须进行全面清洁消毒，进入考场考试全程必须佩戴口罩，每位面试考生与面试考官间隔需在1米以上，保持考场区域通风顺畅。 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3.候考室管理。候考室必须进行全面清洁消毒，候考室考生服从现场管理人员安排，全程必须佩戴口罩，每位面试考生之间隔需在1米以上，保持候考室区域通风顺畅。 现场准备速干手消毒剂。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4.面试考官及工作人员的管理。考官和工作人员全程均应佩戴外科口罩，与面试考生保持社交距离，面试工作人员需佩戴乳胶手套，保持社交距离，避免人员聚集。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（四）体检管理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严格按体检单位要求执行。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三、考生管理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（一）考生防控准备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所有考生应根据当前防控要求做好相应准备，确保考试（含现场确认、面试、体检，下同）当天能顺利参加，因不符合防控要求不能参加考试的考生自行承担后果。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县内考生持有绿码且体温正常的，可直接参加考试。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（二）考前其他相关要求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1.请各位考生在进入笔试、资格复审、面试、体检各环节之前，减少到人员密集的公共场所活动，尽量减少外出活动，勿前往新冠肺炎正在流行的地区，减少走亲访友和聚餐，尽量在家休息。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2.考生在考试前14天进行个人体温（2次/天）监测，如出现发热（≥37.3°C）、干咳、乏力、鼻塞、流涕、咽痛、腹泻等症状，请及时与应聘单位组织人事部门联系，取消考试资格。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3.考生在资格复审、面试、体检环节前14天进行个人体温（2次/天）监测，如出现发热（≥37.3°C）、干咳、乏力、鼻塞、流涕、咽痛、腹泻等症状，暂缓另行安排时间。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4.考生必须如实告知以上个人情况，如有隐瞒后果自负。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5.各位参加考试考生需在微信小程序中下载贵州健康码，并确认健康码为绿色后，方能参加考试。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四、应急管理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（一）入口发现健康码异常或体温异常的考生，立即就地隔离，拨打120电话送至定点医疗机构就诊。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（三）对相应场所按规范进行消毒处理。本《指南》由卫健主管部门负责解释，未尽事宜由卫健主管部门办公室负责完善落实。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sectPr>
      <w:pgSz w:w="11906" w:h="16838"/>
      <w:pgMar w:top="1417" w:right="1417" w:bottom="1417" w:left="141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27BE3"/>
    <w:rsid w:val="24AD1C0A"/>
    <w:rsid w:val="45127BE3"/>
    <w:rsid w:val="77492085"/>
    <w:rsid w:val="78FD6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uiPriority w:val="0"/>
    <w:rPr>
      <w:color w:val="80008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上海院</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2020-09-21T06:09:00Z</dcterms:created>
  <dc:creator>荷塘叶君</dc:creator>
  <cp:lastModifiedBy>荷塘叶君</cp:lastModifiedBy>
  <dcterms:modified xsi:type="dcterms:W3CDTF">2020-09-21T06:13:24Z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