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75" w:line="520" w:lineRule="exact"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after="75" w:line="56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44"/>
        </w:rPr>
      </w:pPr>
    </w:p>
    <w:p>
      <w:pPr>
        <w:spacing w:after="75" w:line="560" w:lineRule="exact"/>
        <w:jc w:val="center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</w:rPr>
        <w:t>薪金标准表</w:t>
      </w:r>
    </w:p>
    <w:p>
      <w:pPr>
        <w:spacing w:after="75" w:line="600" w:lineRule="atLeast"/>
        <w:ind w:firstLine="7770" w:firstLineChars="37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单位：元</w:t>
      </w:r>
    </w:p>
    <w:tbl>
      <w:tblPr>
        <w:tblStyle w:val="2"/>
        <w:tblW w:w="507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893"/>
        <w:gridCol w:w="1101"/>
        <w:gridCol w:w="946"/>
        <w:gridCol w:w="1108"/>
        <w:gridCol w:w="1704"/>
        <w:gridCol w:w="24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31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薪    金（含五险一金个人缴纳部分）</w:t>
            </w:r>
          </w:p>
        </w:tc>
        <w:tc>
          <w:tcPr>
            <w:tcW w:w="1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福利待遇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  <w:jc w:val="center"/>
        </w:trPr>
        <w:tc>
          <w:tcPr>
            <w:tcW w:w="5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档次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基础　工资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绩效　工资</w:t>
            </w:r>
          </w:p>
        </w:tc>
        <w:tc>
          <w:tcPr>
            <w:tcW w:w="60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工资　合计</w:t>
            </w:r>
          </w:p>
        </w:tc>
        <w:tc>
          <w:tcPr>
            <w:tcW w:w="92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职称津贴</w:t>
            </w:r>
          </w:p>
        </w:tc>
        <w:tc>
          <w:tcPr>
            <w:tcW w:w="1310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6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初级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6档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5700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6000</w:t>
            </w:r>
          </w:p>
        </w:tc>
        <w:tc>
          <w:tcPr>
            <w:tcW w:w="924" w:type="pct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正高级职称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副高级职称200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中级职称100</w:t>
            </w:r>
          </w:p>
        </w:tc>
        <w:tc>
          <w:tcPr>
            <w:tcW w:w="1310" w:type="pct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入职第一年从1档起薪，并享受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养老、工伤、医疗、生育、失业保险以及住房公积金等国家规定的相关政策。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年度考核合格，发放本人12月份基础工资数额的一次性奖金，次年工资标准提高一档。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年度考核优秀，发放本人12月份基础工资和绩效工资总额的一次性奖金，次年工资标准提高一档。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6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5档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5400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5700</w:t>
            </w:r>
          </w:p>
        </w:tc>
        <w:tc>
          <w:tcPr>
            <w:tcW w:w="92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131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6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4档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5100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5400</w:t>
            </w:r>
          </w:p>
        </w:tc>
        <w:tc>
          <w:tcPr>
            <w:tcW w:w="92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131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6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3档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4800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5100</w:t>
            </w:r>
          </w:p>
        </w:tc>
        <w:tc>
          <w:tcPr>
            <w:tcW w:w="92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131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6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2档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4500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4800</w:t>
            </w:r>
          </w:p>
        </w:tc>
        <w:tc>
          <w:tcPr>
            <w:tcW w:w="92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131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64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1档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4200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4500</w:t>
            </w:r>
          </w:p>
        </w:tc>
        <w:tc>
          <w:tcPr>
            <w:tcW w:w="92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131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exact"/>
          <w:jc w:val="center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  <w:lang w:val="en-US" w:eastAsia="zh-CN"/>
              </w:rPr>
              <w:t>人民调解员</w:t>
            </w:r>
          </w:p>
        </w:tc>
        <w:tc>
          <w:tcPr>
            <w:tcW w:w="31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2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《哈尔滨市松北区人民法院、松北区司法局“人民调解+速裁”机制改革实施方案》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月工资为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基本工资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以案定补。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为每月人民币2800元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（含五险一金个人缴纳部分）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以案定补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根据调解案件数量及难易程度给予案件补助。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" w:cs="仿宋_GB2312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享受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养老、工伤、医疗、生育、失业保险以及住房公积金等国家规定的相关政策。</w:t>
            </w:r>
          </w:p>
        </w:tc>
      </w:tr>
    </w:tbl>
    <w:p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800A4"/>
    <w:rsid w:val="15F800A4"/>
    <w:rsid w:val="27C22D34"/>
    <w:rsid w:val="2B7671D0"/>
    <w:rsid w:val="31B64AB2"/>
    <w:rsid w:val="3C9655E7"/>
    <w:rsid w:val="422018F0"/>
    <w:rsid w:val="4AC55182"/>
    <w:rsid w:val="719909A6"/>
    <w:rsid w:val="7F66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2020-08-12T01:15:00Z</dcterms:created>
  <dc:creator>成子</dc:creator>
  <cp:lastModifiedBy>lenovo</cp:lastModifiedBy>
  <cp:lastPrinted>2020-08-17T07:29:23Z</cp:lastPrinted>
  <dcterms:modified xsi:type="dcterms:W3CDTF">2020-08-17T07:35:09Z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