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870"/>
        <w:gridCol w:w="1005"/>
        <w:gridCol w:w="750"/>
        <w:gridCol w:w="840"/>
        <w:gridCol w:w="1666"/>
        <w:gridCol w:w="2400"/>
        <w:gridCol w:w="1980"/>
        <w:gridCol w:w="1950"/>
        <w:gridCol w:w="990"/>
        <w:gridCol w:w="9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568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附表1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鹤壁市职业技术学院 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河南理工大学鹤壁工程技术学院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/>
              </w:rPr>
              <w:t>2020年拟公开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招聘高层次人才岗位表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招聘岗位类别</w:t>
            </w:r>
          </w:p>
        </w:tc>
        <w:tc>
          <w:tcPr>
            <w:tcW w:w="89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全供事业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全日制硕士研究生、博士研究生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传播学、新闻学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硕士研究生35周岁以下，博士研究生40周岁以下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两年以上市级及以上报纸、电台、电视台采编工作经历，并提供近两年在市级及以上媒体公开播发的代表作品5件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全日制硕士研究生、博士研究生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广播电视艺术学、美术学、设计艺术学、电影学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硕士研究生35周岁以下，博士研究生40周岁以下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两年以上市级及以上报纸、电台、电视台采编工作经历，并提供近两年在市级及以上媒体公开播发的代表作品5件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全日制硕士研究生、博士研究生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档案学、图书馆学、情报学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硕士研究生35周岁以下，博士研究生40周岁以下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全日制硕士研究生、博士研究生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结构工程，岩土工程、市政工程、供热、供燃气、通风及空调工程、防灾减灾工程及防护工程、桥梁与隧道工程，本科专业为工程造价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硕士研究生35周岁以下，博士研究生40周岁以下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全日制硕士研究生、博士研究生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计算机软件与理论、计算机应用技术、计算机系统结构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硕士研究生35周岁以下，博士研究生40周岁以下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全日制硕士研究生、博士研究生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计算机软件与理论，计算机应用技术、计算机系统结构，本科专业为信息安全类、研究生研究方向为网络安全或信息安全方向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硕士研究生35周岁以下，博士研究生40周岁以下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全日制硕士研究生、博士研究生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军事思想、军事历史、军事教育训练学（含：军事体育学）、作战指挥学、军事运筹学、军事通信学、军事情报学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硕士研究生35周岁以下，博士研究生40周岁以下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全日制硕士研究生、博士研究生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医学、人体解剖和组织胚胎学、免疫学、病原生物学、病理学与病理生理学、影像医学与核医学、内科学、儿科学、老年医学、神经病学、精神病与精神卫生学、皮肤病与性病学、临床检验诊断学、护理学、外科学、妇产科学、眼科学、耳鼻咽喉科学、肿瘤学、康复医学与理疗学、运动医学、麻醉学、急诊医学，本科或硕士研究生专业为放射医学、影像医学与核医学、医学影像学、医学影像技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硕士研究生35周岁以下，博士研究生40周岁以下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全日制硕士研究生、博士研究生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本科或研究生专业为口腔基础医学、口腔临床医学、口腔医学、口腔医学技术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硕士研究生35周岁以下，博士研究生40周岁以下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全日制硕士研究生、博士研究生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、内科学、儿科学、老年医学、神经病学、精神病与精神卫生学、皮肤病与性病学、影像医学与核医学、临床检验诊断学、外科学、妇产科学、眼科学、耳鼻咽喉科学、肿瘤学、康复医学与理疗学、运动医学、麻醉学、急诊医学，本科或硕士研究生专业为护理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硕士研究生35周岁以下，博士研究生40周岁以下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全日制硕士研究生、博士研究生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车辆工程、机械制造及其自动化、机械电子工程、机械设计及理论，本科或硕士研究生专业为车辆工程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硕士研究生35周岁以下，博士研究生40周岁以下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全日制硕士研究生、博士研究生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电机与电器、电力电子与电力传动、电力系统及其自动化、电工理论与新技术，高电压与绝缘技术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硕士研究生35周岁以下，博士研究生40周岁以下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鹤壁工程技术学院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全供事业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13010201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全日制硕士研究生、博士研究生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硕士研究生35周岁以下，博士研究生40周岁以下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13010202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全日制硕士研究生、博士研究生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病理学与病理生理学、人体解剖与组织胚胎学、放射医学、免疫学、病原生物学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硕士研究生35周岁以下，博士研究生40周岁以下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13010203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全日制硕士研究生、博士研究生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电机与电器、电力电子与电力传动、电力系统及其自动化、电工理论与新技术，高电压与绝缘技术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硕士研究生35周岁以下，博士研究生40周岁以下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13010204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全日制硕士研究生、博士研究生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物理电子学、电路与系统、微电子学与固体电子学、电磁场与微波技术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硕士研究生35周岁以下，博士研究生40周岁以下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/>
        <w:adjustRightInd w:val="0"/>
        <w:snapToGrid w:val="0"/>
        <w:spacing w:line="5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8336A"/>
    <w:rsid w:val="0D78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2020-07-27T03:24:00Z</dcterms:created>
  <dc:creator>Administrator</dc:creator>
  <cp:lastModifiedBy>Administrator</cp:lastModifiedBy>
  <dcterms:modified xsi:type="dcterms:W3CDTF">2020-07-27T03:24:23Z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