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3010"/>
        <w:gridCol w:w="7334"/>
        <w:gridCol w:w="1515"/>
        <w:gridCol w:w="1016"/>
        <w:gridCol w:w="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西安市临潼区融媒体中心新媒体技术和广播电视技术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计算机网络技术、数字媒体技术及相关专业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西安市临潼区融媒体中心新媒体技术和广播电视技术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计算机网络技术、数字媒体技术及相关专业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西安市临潼区融媒体中心新媒体采编运营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新闻传播学、新闻采编与制作、网络营销相关专业,有新媒体运营工作经验者，同等条件下优先聘用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西安市临潼区融媒体中心新媒体采编运营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新闻传播学、新闻采编与制作、网络营销相关专业,有新媒体运营工作经验者，同等条件下优先聘用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西安市临潼区融媒体中心影视节目包装制作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电视节目制作、数字媒体动画、电视编导、电视摄像相关专业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西安市临潼区融媒体中心编导及文案策划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新闻传播学、汉语言文学、戏剧与影视学及相关专业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西安市临潼区融媒体中心编导及文案策划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新闻传播学、汉语言文学、戏剧与影视学及相关专业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西安市临潼区融媒体中心播音与主持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播音主持相关专业，普通话等级要求一级甲等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西安市临潼区融媒体中心播音与主持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播音主持相关专业，普通话等级要求一级甲等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西安市临潼区融媒体中心新闻采访记者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新闻学、电视、摄像、编导、汉语言文学相关专业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西安市临潼区融媒体中心新闻采访记者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新闻学、电视、摄像、编导、汉语言文学相关专业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西安市临潼区融媒体中心全媒体美工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美术、平面设计相关专业，熟练掌握ps、lr等相关修图软件，熟悉视频剪辑，有媒体类美工编辑相关工作经验者，同等条件下优先聘用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普通全日制本科及以上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18人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E301C"/>
    <w:rsid w:val="199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2020-05-18T04:37:00Z</dcterms:created>
  <dc:creator>秋叶夏花</dc:creator>
  <cp:lastModifiedBy>秋叶夏花</cp:lastModifiedBy>
  <dcterms:modified xsi:type="dcterms:W3CDTF">2020-05-18T08:24:11Z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