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jc w:val="center"/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</w:pP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eastAsia="zh-CN"/>
        </w:rPr>
        <w:t>温州锦华房地产开发有限公司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20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20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年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上半年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招聘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工作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人员一览表</w:t>
      </w:r>
    </w:p>
    <w:tbl>
      <w:tblPr>
        <w:tblStyle w:val="3"/>
        <w:tblpPr w:leftFromText="180" w:rightFromText="180" w:vertAnchor="text" w:horzAnchor="page" w:tblpX="1356" w:tblpY="41"/>
        <w:tblOverlap w:val="never"/>
        <w:tblW w:w="13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48"/>
        <w:gridCol w:w="795"/>
        <w:gridCol w:w="1500"/>
        <w:gridCol w:w="885"/>
        <w:gridCol w:w="1515"/>
        <w:gridCol w:w="2070"/>
        <w:gridCol w:w="1275"/>
        <w:gridCol w:w="123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编号</w:t>
            </w:r>
          </w:p>
        </w:tc>
        <w:tc>
          <w:tcPr>
            <w:tcW w:w="13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招聘岗位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人数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1190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出生年限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学历（学位）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职称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/职业资格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户籍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财务管理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1985年1月1日后出生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大专及以上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财务会计学类、会计学、财务管理专业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温州市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宣传专员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1990年1月1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大专及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市场营销类、工商管理类招考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温州市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获得相关荣誉者尤佳，经常出外勤，建议男性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工程管理1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1985年1月1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土木工程专业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工程师职称及以上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工作地在上海，居住本地者尤佳，经常进工地现场，建议男性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行政管理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1980年1月1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公共管理类、经济与贸易类招考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C1驾照，熟练使用办公软件，工作地在上海，居住本地者尤佳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招商专员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1985年1月1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经济学类、工商管理类招考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工作地在上海，居住本地者尤佳，经常出外勤，建议男性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工程管理2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1985年1月1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大专及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工程管理类、土木工程专业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工程师职称及以上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工作地在文成，居住本地者尤佳，经常进工地现场，建议男性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文秘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1985年1月1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中国语言文学类、新闻传播学类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招考专业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良好文字功底，工作地在文成，居住本地者尤佳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3216"/>
    <w:rsid w:val="2A1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2020-05-07T02:14:00Z</dcterms:created>
  <dc:creator>Mu</dc:creator>
  <cp:lastModifiedBy>Mu</cp:lastModifiedBy>
  <dcterms:modified xsi:type="dcterms:W3CDTF">2020-05-07T02:15:15Z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