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3D" w:rsidRDefault="00B6083D" w:rsidP="00B6083D">
      <w:pPr>
        <w:pStyle w:val="A30"/>
        <w:adjustRightInd w:val="0"/>
        <w:snapToGrid w:val="0"/>
        <w:spacing w:line="460" w:lineRule="exact"/>
        <w:ind w:firstLine="560"/>
        <w:jc w:val="center"/>
        <w:rPr>
          <w:rFonts w:ascii="黑体" w:hAnsi="黑体" w:hint="eastAsia"/>
          <w:color w:val="000000"/>
          <w:sz w:val="28"/>
          <w:szCs w:val="28"/>
        </w:rPr>
      </w:pPr>
      <w:r w:rsidRPr="00B6083D">
        <w:rPr>
          <w:rFonts w:ascii="黑体" w:hAnsi="黑体" w:hint="eastAsia"/>
          <w:color w:val="000000"/>
          <w:sz w:val="28"/>
          <w:szCs w:val="28"/>
        </w:rPr>
        <w:t>井研县县情简介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0"/>
        <w:rPr>
          <w:rFonts w:ascii="黑体"/>
          <w:color w:val="000000"/>
          <w:sz w:val="28"/>
          <w:szCs w:val="28"/>
        </w:rPr>
      </w:pPr>
      <w:r w:rsidRPr="00BA54B7">
        <w:rPr>
          <w:rFonts w:ascii="黑体" w:hAnsi="黑体" w:hint="eastAsia"/>
          <w:color w:val="000000"/>
          <w:sz w:val="28"/>
          <w:szCs w:val="28"/>
        </w:rPr>
        <w:t>▲井研县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0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井研县地处四川盆地西南部、乐山东部门户区，幅员面积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840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平方公里，辖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1</w:t>
      </w:r>
      <w:r w:rsidR="00DB35E2">
        <w:rPr>
          <w:rFonts w:ascii="仿宋_GB2312" w:eastAsia="仿宋_GB2312" w:hAnsi="黑体" w:hint="eastAsia"/>
          <w:color w:val="000000"/>
          <w:sz w:val="28"/>
          <w:szCs w:val="28"/>
        </w:rPr>
        <w:t>4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镇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1街道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199个建制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村，总人口</w:t>
      </w:r>
      <w:r w:rsidR="00DB35E2">
        <w:rPr>
          <w:rFonts w:ascii="仿宋_GB2312" w:eastAsia="仿宋_GB2312" w:hAnsi="黑体" w:hint="eastAsia"/>
          <w:color w:val="000000"/>
          <w:sz w:val="28"/>
          <w:szCs w:val="28"/>
        </w:rPr>
        <w:t>39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万。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隋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开皇十一年（公元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591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年）置县，自古有“天府灵秀”之美誉，“盐利冒于西蜀”“人物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媲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于上州”，是历史上的“状元宰相、理学名臣”之地，是文化部命名的中国民间文化艺术之乡、四川唯一中国农民画乡。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0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贯彻省委十一届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三次、四次、五次、六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次全会、市委七届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七次、八次、九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次全会精神，县委十四届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十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次全会对标对表、加压奋进，提出</w:t>
      </w:r>
      <w:r w:rsidR="004512F6">
        <w:rPr>
          <w:rFonts w:ascii="仿宋_GB2312" w:eastAsia="仿宋_GB2312" w:hAnsi="黑体" w:hint="eastAsia"/>
          <w:color w:val="000000"/>
          <w:sz w:val="28"/>
          <w:szCs w:val="28"/>
        </w:rPr>
        <w:t>实施“126”发展战略，即</w:t>
      </w:r>
      <w:r w:rsidR="004512F6" w:rsidRPr="004512F6">
        <w:rPr>
          <w:rFonts w:ascii="仿宋_GB2312" w:eastAsia="仿宋_GB2312" w:hAnsi="黑体" w:hint="eastAsia"/>
          <w:color w:val="000000"/>
          <w:sz w:val="28"/>
          <w:szCs w:val="28"/>
        </w:rPr>
        <w:t>加快建设乐山“一级副中心城市”，争创全省农产品主产区先进县和实施乡村振兴战略先进县，努力打造“繁荣、开放、美丽、共享、和谐、忠诚”的新井研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2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b/>
          <w:color w:val="000000"/>
          <w:sz w:val="28"/>
          <w:szCs w:val="28"/>
        </w:rPr>
        <w:t>区位条件独特。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井研北距成都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100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公里，西至乐山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28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公里，东去自贡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118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公里，距双流机场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125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公里，处于成渝、攀西、川南三大经济圈的重要节点。乐自高速、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仁沐新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高速贯穿全境，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G213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线、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S305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线纵横交错，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连乐铁路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开工建设，正着力推进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蒲井资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高速、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雅眉乐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自城际铁路、乐自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泸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铁路建设，争取实施</w:t>
      </w:r>
      <w:r w:rsidR="004512F6">
        <w:rPr>
          <w:rFonts w:ascii="仿宋_GB2312" w:eastAsia="仿宋_GB2312" w:hAnsi="黑体" w:hint="eastAsia"/>
          <w:color w:val="000000"/>
          <w:sz w:val="28"/>
          <w:szCs w:val="28"/>
        </w:rPr>
        <w:t>红星路南延线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井研段。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井乐快速通道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直达乐山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20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分钟，延接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仁沐新至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天府新区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小时，至简阳芦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葭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机场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89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公里，处于乐山半小时经济圈和天府新区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小时时空圈。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2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b/>
          <w:color w:val="000000"/>
          <w:sz w:val="28"/>
          <w:szCs w:val="28"/>
        </w:rPr>
        <w:t>历史文化悠久。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井研是近代深井技术先河“卓筒井”发祥地，是“亚洲第一龙”马门溪恐龙发掘地。这里文化人才辈出，宋明清三代孕育了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名状元、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4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位宰相、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87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名进士，有李氏“一门四进士”（李舜臣及子李心传、李性传、李道传）、牟氏“祖孙三才人”（牟子才、牟献、牟应龙）以及近代经学大师廖平、辛亥元勋熊克武等历史文化名人。名胜古迹众多，坐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拥国家</w:t>
      </w:r>
      <w:proofErr w:type="gramEnd"/>
      <w:r w:rsidRPr="00BA54B7">
        <w:rPr>
          <w:rFonts w:ascii="仿宋_GB2312" w:eastAsia="仿宋_GB2312" w:hAnsi="黑体"/>
          <w:color w:val="000000"/>
          <w:sz w:val="28"/>
          <w:szCs w:val="28"/>
        </w:rPr>
        <w:t>3A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级景区雷</w:t>
      </w:r>
      <w:r w:rsidR="00822959">
        <w:rPr>
          <w:rFonts w:ascii="仿宋_GB2312" w:eastAsia="仿宋_GB2312" w:hAnsi="黑体" w:hint="eastAsia"/>
          <w:color w:val="000000"/>
          <w:sz w:val="28"/>
          <w:szCs w:val="28"/>
        </w:rPr>
        <w:t>氏民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居、国家重点文物保护单位三江宋塔以及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熊克武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故居、大佛湖、成都战役</w:t>
      </w:r>
      <w:r w:rsidRPr="00BA54B7">
        <w:rPr>
          <w:rFonts w:ascii="宋体" w:eastAsia="宋体" w:hAnsi="宋体" w:cs="宋体"/>
          <w:color w:val="000000"/>
          <w:sz w:val="28"/>
          <w:szCs w:val="28"/>
        </w:rPr>
        <w:t>•</w:t>
      </w:r>
      <w:r w:rsidRPr="00BA54B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首战遗址等自然人文景观。井研农民画是全省对外文化交流名片，是中宣部“图说价值观”宣传品牌。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2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b/>
          <w:color w:val="000000"/>
          <w:sz w:val="28"/>
          <w:szCs w:val="28"/>
        </w:rPr>
        <w:t>资源禀赋丰富。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井研处于典型丘区，位于龙泉山脉尾段，生态优美，山川秀丽，气候宜人。全县耕地面积约</w:t>
      </w:r>
      <w:r w:rsidR="00865C10">
        <w:rPr>
          <w:rFonts w:ascii="仿宋_GB2312" w:eastAsia="仿宋_GB2312" w:hAnsi="黑体" w:hint="eastAsia"/>
          <w:color w:val="000000"/>
          <w:sz w:val="28"/>
          <w:szCs w:val="28"/>
        </w:rPr>
        <w:t>67.5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万亩，绿化覆盖率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lastRenderedPageBreak/>
        <w:t>为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67.2%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，空气优良天数</w:t>
      </w:r>
      <w:r w:rsidR="00865C10">
        <w:rPr>
          <w:rFonts w:ascii="仿宋_GB2312" w:eastAsia="仿宋_GB2312" w:hAnsi="黑体" w:hint="eastAsia"/>
          <w:color w:val="000000"/>
          <w:sz w:val="28"/>
          <w:szCs w:val="28"/>
        </w:rPr>
        <w:t>占比89.3%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。境内岩盐、页岩、天然气等资源丰富，位于威西盐矿核心区，岩盐蕴藏总量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100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亿吨，分布面积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600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平方公里，盐层平均厚度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14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米，埋藏浅、易开采、纯度高，属一级矿产品位。属天然气富集区，初步探明天然气和页岩气储量达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万亿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立方米，体量居全省前列。自古为“盆中丘陵粮经区”，柑橘、水产、林竹等特色明显，有国家级龙头企业</w:t>
      </w:r>
      <w:r w:rsidR="00057683">
        <w:rPr>
          <w:rFonts w:ascii="仿宋_GB2312" w:eastAsia="仿宋_GB2312" w:hAnsi="黑体" w:hint="eastAsia"/>
          <w:color w:val="000000"/>
          <w:sz w:val="28"/>
          <w:szCs w:val="28"/>
        </w:rPr>
        <w:t>3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家（蓝雁、哈哥</w:t>
      </w:r>
      <w:r w:rsidR="00057683">
        <w:rPr>
          <w:rFonts w:ascii="仿宋_GB2312" w:eastAsia="仿宋_GB2312" w:hAnsi="黑体" w:hint="eastAsia"/>
          <w:color w:val="000000"/>
          <w:sz w:val="28"/>
          <w:szCs w:val="28"/>
        </w:rPr>
        <w:t>、华象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）。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2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b/>
          <w:color w:val="000000"/>
          <w:sz w:val="28"/>
          <w:szCs w:val="28"/>
        </w:rPr>
        <w:t>特色产业鲜明。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井研是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全国产粮大县、全国生猪调出大县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全省农村改革综合试验区、全省农产品主产县和现代农业示范县</w:t>
      </w:r>
      <w:r w:rsidR="004512F6"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="004512F6" w:rsidRPr="004512F6">
        <w:rPr>
          <w:rFonts w:ascii="仿宋_GB2312" w:eastAsia="仿宋_GB2312" w:hAnsi="黑体" w:hint="eastAsia"/>
          <w:color w:val="000000"/>
          <w:sz w:val="28"/>
          <w:szCs w:val="28"/>
        </w:rPr>
        <w:t>全省竹林风景线建设先进单位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。围绕市委确定的“乐山乡村振兴示范县”定位，着力建设</w:t>
      </w:r>
      <w:r w:rsidR="004512F6" w:rsidRPr="004512F6">
        <w:rPr>
          <w:rFonts w:ascii="仿宋_GB2312" w:eastAsia="仿宋_GB2312" w:hAnsi="黑体" w:hint="eastAsia"/>
          <w:color w:val="000000"/>
          <w:sz w:val="28"/>
          <w:szCs w:val="28"/>
        </w:rPr>
        <w:t>全省农产品主产区先进县和实施乡村振兴战略先进县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，争创国家现代农业产业园，重点</w:t>
      </w:r>
      <w:r w:rsidR="004512F6">
        <w:rPr>
          <w:rFonts w:ascii="仿宋_GB2312" w:eastAsia="仿宋_GB2312" w:hAnsi="黑体" w:hint="eastAsia"/>
          <w:color w:val="000000"/>
          <w:sz w:val="28"/>
          <w:szCs w:val="28"/>
        </w:rPr>
        <w:t>围绕建设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“百里产业大环线”，培育乐山第二大特色精品农业产业带，打造“中国西部杂柑之乡”，</w:t>
      </w:r>
      <w:r w:rsidR="004512F6" w:rsidRPr="004512F6">
        <w:rPr>
          <w:rFonts w:ascii="仿宋_GB2312" w:eastAsia="仿宋_GB2312" w:hAnsi="黑体" w:hint="eastAsia"/>
          <w:color w:val="000000"/>
          <w:sz w:val="28"/>
          <w:szCs w:val="28"/>
        </w:rPr>
        <w:t>“井研柑橘”成功注册国家地理标志商标，井研晚熟杂交柑橘被评为四川省特色农产品优势</w:t>
      </w:r>
      <w:proofErr w:type="gramStart"/>
      <w:r w:rsidR="004512F6" w:rsidRPr="004512F6">
        <w:rPr>
          <w:rFonts w:ascii="仿宋_GB2312" w:eastAsia="仿宋_GB2312" w:hAnsi="黑体" w:hint="eastAsia"/>
          <w:color w:val="000000"/>
          <w:sz w:val="28"/>
          <w:szCs w:val="28"/>
        </w:rPr>
        <w:t>区特色</w:t>
      </w:r>
      <w:proofErr w:type="gramEnd"/>
      <w:r w:rsidR="004512F6" w:rsidRPr="004512F6">
        <w:rPr>
          <w:rFonts w:ascii="仿宋_GB2312" w:eastAsia="仿宋_GB2312" w:hAnsi="黑体" w:hint="eastAsia"/>
          <w:color w:val="000000"/>
          <w:sz w:val="28"/>
          <w:szCs w:val="28"/>
        </w:rPr>
        <w:t>园艺产品，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全县建成优质柑橘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20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万亩，建成长山湖、太阳岛等特色民宿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19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家。围绕国学之乡、柑橘之乡、垂钓之乡、农民画乡、盐浴之乡、英雄之</w:t>
      </w:r>
      <w:proofErr w:type="gramStart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乡等彰显</w:t>
      </w:r>
      <w:proofErr w:type="gramEnd"/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乡村旅游特色。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2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 w:hint="eastAsia"/>
          <w:b/>
          <w:color w:val="000000"/>
          <w:sz w:val="28"/>
          <w:szCs w:val="28"/>
        </w:rPr>
        <w:t>投资环境优越。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坚持规划引领，抢抓区位、交通、资源等优势，积极落实企业入园、用地、融资等优惠政策，开明开放筑巢引凤。作为全省“再造一个都江堰灌区”，正在加快启动“岷茫水系”工程，着力彻底解决岷江东部用水问题。高压电网、输气管道贯通全境，金融服务、通讯网络优质高效，教育、科技、文化、卫生设施完善。具有劳动力比较优势，可招纳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10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万朴实勤劳、训练有素的产业工人。正实施“优旧”“育新”工程，推动农产品加工、纺织服装、盐磷化工、机械制造等产业转型升级；重点承接成都产业转移，加快推动家居产业基地等项目建设，着力打造新的百亿产业集群。</w:t>
      </w:r>
    </w:p>
    <w:p w:rsidR="00235A23" w:rsidRPr="00BA54B7" w:rsidRDefault="00235A23" w:rsidP="00BA54B7">
      <w:pPr>
        <w:pStyle w:val="A30"/>
        <w:adjustRightInd w:val="0"/>
        <w:snapToGrid w:val="0"/>
        <w:spacing w:line="460" w:lineRule="exact"/>
        <w:ind w:firstLine="560"/>
        <w:rPr>
          <w:rFonts w:ascii="仿宋_GB2312" w:eastAsia="仿宋_GB2312" w:hAnsi="黑体"/>
          <w:color w:val="000000"/>
          <w:sz w:val="28"/>
          <w:szCs w:val="28"/>
        </w:rPr>
      </w:pPr>
      <w:r w:rsidRPr="00BA54B7">
        <w:rPr>
          <w:rFonts w:ascii="仿宋_GB2312" w:eastAsia="仿宋_GB2312" w:hAnsi="黑体"/>
          <w:color w:val="000000"/>
          <w:sz w:val="28"/>
          <w:szCs w:val="28"/>
        </w:rPr>
        <w:t>201</w:t>
      </w:r>
      <w:r w:rsidR="00707067">
        <w:rPr>
          <w:rFonts w:ascii="仿宋_GB2312" w:eastAsia="仿宋_GB2312" w:hAnsi="黑体" w:hint="eastAsia"/>
          <w:color w:val="000000"/>
          <w:sz w:val="28"/>
          <w:szCs w:val="28"/>
        </w:rPr>
        <w:t>9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年，井研县地区生产总值完成</w:t>
      </w:r>
      <w:r w:rsidR="00707067">
        <w:rPr>
          <w:rFonts w:ascii="仿宋_GB2312" w:eastAsia="仿宋_GB2312" w:hAnsi="黑体" w:hint="eastAsia"/>
          <w:color w:val="000000"/>
          <w:sz w:val="28"/>
          <w:szCs w:val="28"/>
        </w:rPr>
        <w:t>116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亿元、增长</w:t>
      </w:r>
      <w:r w:rsidR="00707067">
        <w:rPr>
          <w:rFonts w:ascii="仿宋_GB2312" w:eastAsia="仿宋_GB2312" w:hAnsi="黑体" w:hint="eastAsia"/>
          <w:color w:val="000000"/>
          <w:sz w:val="28"/>
          <w:szCs w:val="28"/>
        </w:rPr>
        <w:t>6.5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；城乡居民人均可支配收入分别增长</w:t>
      </w:r>
      <w:r w:rsidR="00707067">
        <w:rPr>
          <w:rFonts w:ascii="仿宋_GB2312" w:eastAsia="仿宋_GB2312" w:hAnsi="黑体" w:hint="eastAsia"/>
          <w:color w:val="000000"/>
          <w:sz w:val="28"/>
          <w:szCs w:val="28"/>
        </w:rPr>
        <w:t>9.2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和</w:t>
      </w:r>
      <w:r w:rsidR="00707067">
        <w:rPr>
          <w:rFonts w:ascii="仿宋_GB2312" w:eastAsia="仿宋_GB2312" w:hAnsi="黑体" w:hint="eastAsia"/>
          <w:color w:val="000000"/>
          <w:sz w:val="28"/>
          <w:szCs w:val="28"/>
        </w:rPr>
        <w:t>10.1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；全县规模以上工业增加值增长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5.2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；全社会固定资产投资增长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14.1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；地方一般公共预算收入完成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2.39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亿元；社会消费品零售总额完成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51.9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亿元，增长</w:t>
      </w:r>
      <w:r w:rsidR="008F2195">
        <w:rPr>
          <w:rFonts w:ascii="仿宋_GB2312" w:eastAsia="仿宋_GB2312" w:hAnsi="黑体" w:hint="eastAsia"/>
          <w:color w:val="000000"/>
          <w:sz w:val="28"/>
          <w:szCs w:val="28"/>
        </w:rPr>
        <w:t>11.3</w:t>
      </w:r>
      <w:r w:rsidRPr="00BA54B7">
        <w:rPr>
          <w:rFonts w:ascii="仿宋_GB2312" w:eastAsia="仿宋_GB2312" w:hAnsi="黑体"/>
          <w:color w:val="000000"/>
          <w:sz w:val="28"/>
          <w:szCs w:val="28"/>
        </w:rPr>
        <w:t>%</w:t>
      </w:r>
      <w:r w:rsidRPr="00BA54B7">
        <w:rPr>
          <w:rFonts w:ascii="仿宋_GB2312" w:eastAsia="仿宋_GB2312" w:hAnsi="黑体" w:hint="eastAsia"/>
          <w:color w:val="000000"/>
          <w:sz w:val="28"/>
          <w:szCs w:val="28"/>
        </w:rPr>
        <w:t>。</w:t>
      </w:r>
    </w:p>
    <w:p w:rsidR="00235A23" w:rsidRPr="00DC3EE1" w:rsidRDefault="00235A23" w:rsidP="00BA54B7">
      <w:pPr>
        <w:rPr>
          <w:color w:val="000000"/>
        </w:rPr>
      </w:pPr>
      <w:bookmarkStart w:id="0" w:name="_GoBack"/>
      <w:bookmarkEnd w:id="0"/>
    </w:p>
    <w:sectPr w:rsidR="00235A23" w:rsidRPr="00DC3EE1" w:rsidSect="0065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F92" w:rsidRDefault="00594F92" w:rsidP="00197B13">
      <w:r>
        <w:separator/>
      </w:r>
    </w:p>
  </w:endnote>
  <w:endnote w:type="continuationSeparator" w:id="0">
    <w:p w:rsidR="00594F92" w:rsidRDefault="00594F92" w:rsidP="00197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F92" w:rsidRDefault="00594F92" w:rsidP="00197B13">
      <w:r>
        <w:separator/>
      </w:r>
    </w:p>
  </w:footnote>
  <w:footnote w:type="continuationSeparator" w:id="0">
    <w:p w:rsidR="00594F92" w:rsidRDefault="00594F92" w:rsidP="00197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B42"/>
    <w:rsid w:val="00033DFA"/>
    <w:rsid w:val="00057683"/>
    <w:rsid w:val="001366F3"/>
    <w:rsid w:val="00197B13"/>
    <w:rsid w:val="00235A23"/>
    <w:rsid w:val="00280255"/>
    <w:rsid w:val="002A3D9A"/>
    <w:rsid w:val="003C3193"/>
    <w:rsid w:val="003F2E82"/>
    <w:rsid w:val="004512F6"/>
    <w:rsid w:val="00594F92"/>
    <w:rsid w:val="005F4B42"/>
    <w:rsid w:val="006330DD"/>
    <w:rsid w:val="00651CB6"/>
    <w:rsid w:val="00651F21"/>
    <w:rsid w:val="00707067"/>
    <w:rsid w:val="00720C50"/>
    <w:rsid w:val="00822959"/>
    <w:rsid w:val="00865C10"/>
    <w:rsid w:val="008C2CCB"/>
    <w:rsid w:val="008F2195"/>
    <w:rsid w:val="00924B12"/>
    <w:rsid w:val="00950433"/>
    <w:rsid w:val="00991935"/>
    <w:rsid w:val="00AD449B"/>
    <w:rsid w:val="00B6083D"/>
    <w:rsid w:val="00BA54B7"/>
    <w:rsid w:val="00CB5A30"/>
    <w:rsid w:val="00D17D19"/>
    <w:rsid w:val="00D971B9"/>
    <w:rsid w:val="00DB35E2"/>
    <w:rsid w:val="00DC3EE1"/>
    <w:rsid w:val="00EF1CB3"/>
    <w:rsid w:val="00F4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9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97B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9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97B13"/>
    <w:rPr>
      <w:rFonts w:cs="Times New Roman"/>
      <w:sz w:val="18"/>
      <w:szCs w:val="18"/>
    </w:rPr>
  </w:style>
  <w:style w:type="paragraph" w:customStyle="1" w:styleId="A30">
    <w:name w:val="A3"/>
    <w:basedOn w:val="a"/>
    <w:uiPriority w:val="99"/>
    <w:rsid w:val="00197B13"/>
    <w:pPr>
      <w:spacing w:line="590" w:lineRule="exact"/>
      <w:ind w:firstLineChars="200" w:firstLine="660"/>
    </w:pPr>
    <w:rPr>
      <w:rFonts w:eastAsia="黑体" w:cs="Calibri"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1631</Words>
  <Characters>89</Characters>
  <Application>Microsoft Office Word</Application>
  <DocSecurity>0</DocSecurity>
  <Lines>1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17</cp:revision>
  <dcterms:created xsi:type="dcterms:W3CDTF">2019-07-17T04:30:00Z</dcterms:created>
  <dcterms:modified xsi:type="dcterms:W3CDTF">2020-04-23T09:22:00Z</dcterms:modified>
</cp:coreProperties>
</file>