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ascii="微软雅黑" w:hAnsi="微软雅黑" w:eastAsia="微软雅黑" w:cs="微软雅黑"/>
          <w:i w:val="0"/>
          <w:caps w:val="0"/>
          <w:color w:val="646464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sz w:val="21"/>
          <w:szCs w:val="21"/>
          <w:bdr w:val="none" w:color="auto" w:sz="0" w:space="0"/>
          <w:shd w:val="clear" w:fill="FFFFFF"/>
        </w:rPr>
        <w:t>岗位条件</w:t>
      </w:r>
    </w:p>
    <w:tbl>
      <w:tblPr>
        <w:tblW w:w="8520" w:type="dxa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425"/>
        <w:gridCol w:w="720"/>
        <w:gridCol w:w="990"/>
        <w:gridCol w:w="1005"/>
        <w:gridCol w:w="870"/>
        <w:gridCol w:w="2010"/>
        <w:gridCol w:w="67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代码</w:t>
            </w:r>
          </w:p>
        </w:tc>
        <w:tc>
          <w:tcPr>
            <w:tcW w:w="14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岗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位名称</w:t>
            </w:r>
          </w:p>
        </w:tc>
        <w:tc>
          <w:tcPr>
            <w:tcW w:w="7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10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20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其它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5" w:hRule="atLeast"/>
          <w:tblCellSpacing w:w="0" w:type="dxa"/>
        </w:trPr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视频拍摄制作人员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大学本科及以上学历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广播电视学、广播电视编导、摄影、动画、数字媒体艺术、影视摄影与制作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1、能独立使用专业照相机、摄像机、无人机完成图片、视频拍摄及剪辑工作，配合编辑室完成栏目策划，对新闻产品的画面、分镜进行设计、编辑。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2、熟练使用Photoshop、After Effects、Flash、Premiere等图片、视频制作软件。有一年以上抖音号、快手号等短视频运营经验。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3、报名需提交视频、海报、H5等新媒体作品。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代表作品可投至报名邮箱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1" w:hRule="atLeast"/>
          <w:tblCellSpacing w:w="0" w:type="dxa"/>
        </w:trPr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综合文字编辑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大学本科及以上学历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中国语言文学类、新闻传播学类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1、有较强的新闻采编和策划能力，熟悉新媒体平台运维技巧。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2、有一年以上政务类网站、微博运维经验。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3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2020-04-07T08:42:21Z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