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黑体" w:eastAsia="黑体"/>
          <w:sz w:val="32"/>
          <w:szCs w:val="32"/>
        </w:rPr>
      </w:pPr>
      <w:r>
        <w:rPr>
          <w:rFonts w:hint="eastAsia" w:ascii="黑体" w:eastAsia="黑体"/>
          <w:sz w:val="32"/>
          <w:szCs w:val="32"/>
        </w:rPr>
        <w:t>附件</w:t>
      </w:r>
      <w:r>
        <w:rPr>
          <w:rFonts w:ascii="黑体" w:eastAsia="黑体"/>
          <w:sz w:val="32"/>
          <w:szCs w:val="32"/>
        </w:rPr>
        <w:t>2</w:t>
      </w:r>
    </w:p>
    <w:p>
      <w:pPr>
        <w:spacing w:line="576" w:lineRule="exact"/>
        <w:jc w:val="center"/>
        <w:rPr>
          <w:rFonts w:ascii="方正小标宋简体" w:eastAsia="方正小标宋简体"/>
          <w:b/>
          <w:w w:val="70"/>
          <w:sz w:val="44"/>
          <w:szCs w:val="44"/>
        </w:rPr>
      </w:pPr>
      <w:r>
        <w:rPr>
          <w:rFonts w:hint="eastAsia" w:ascii="方正小标宋简体" w:eastAsia="方正小标宋简体"/>
          <w:b/>
          <w:w w:val="70"/>
          <w:sz w:val="44"/>
          <w:szCs w:val="44"/>
        </w:rPr>
        <w:t>旺苍县部分事业单位</w:t>
      </w:r>
      <w:r>
        <w:rPr>
          <w:rFonts w:ascii="方正小标宋简体" w:eastAsia="方正小标宋简体"/>
          <w:b/>
          <w:w w:val="70"/>
          <w:sz w:val="44"/>
          <w:szCs w:val="44"/>
        </w:rPr>
        <w:t>2020</w:t>
      </w:r>
      <w:r>
        <w:rPr>
          <w:rFonts w:hint="eastAsia" w:ascii="方正小标宋简体" w:eastAsia="方正小标宋简体"/>
          <w:b/>
          <w:w w:val="70"/>
          <w:sz w:val="44"/>
          <w:szCs w:val="44"/>
        </w:rPr>
        <w:t>年公开考核招聘疫情防控卫生专业技术人员岗位条件一览表</w:t>
      </w:r>
    </w:p>
    <w:tbl>
      <w:tblPr>
        <w:tblStyle w:val="2"/>
        <w:tblW w:w="14595" w:type="dxa"/>
        <w:tblInd w:w="93" w:type="dxa"/>
        <w:tblLayout w:type="fixed"/>
        <w:tblCellMar>
          <w:top w:w="0" w:type="dxa"/>
          <w:left w:w="108" w:type="dxa"/>
          <w:bottom w:w="0" w:type="dxa"/>
          <w:right w:w="108" w:type="dxa"/>
        </w:tblCellMar>
      </w:tblPr>
      <w:tblGrid>
        <w:gridCol w:w="482"/>
        <w:gridCol w:w="1200"/>
        <w:gridCol w:w="742"/>
        <w:gridCol w:w="902"/>
        <w:gridCol w:w="942"/>
        <w:gridCol w:w="631"/>
        <w:gridCol w:w="710"/>
        <w:gridCol w:w="637"/>
        <w:gridCol w:w="1547"/>
        <w:gridCol w:w="694"/>
        <w:gridCol w:w="694"/>
        <w:gridCol w:w="816"/>
        <w:gridCol w:w="1692"/>
        <w:gridCol w:w="2906"/>
      </w:tblGrid>
      <w:tr>
        <w:tblPrEx>
          <w:tblCellMar>
            <w:top w:w="0" w:type="dxa"/>
            <w:left w:w="108" w:type="dxa"/>
            <w:bottom w:w="0" w:type="dxa"/>
            <w:right w:w="108" w:type="dxa"/>
          </w:tblCellMar>
        </w:tblPrEx>
        <w:trPr>
          <w:trHeight w:val="722" w:hRule="atLeast"/>
        </w:trPr>
        <w:tc>
          <w:tcPr>
            <w:tcW w:w="4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主管部门</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招聘单位</w:t>
            </w:r>
          </w:p>
        </w:tc>
        <w:tc>
          <w:tcPr>
            <w:tcW w:w="90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招聘岗位</w:t>
            </w:r>
          </w:p>
        </w:tc>
        <w:tc>
          <w:tcPr>
            <w:tcW w:w="94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岗位编码</w:t>
            </w:r>
          </w:p>
        </w:tc>
        <w:tc>
          <w:tcPr>
            <w:tcW w:w="63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招聘人数</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学历</w:t>
            </w:r>
          </w:p>
        </w:tc>
        <w:tc>
          <w:tcPr>
            <w:tcW w:w="63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学位</w:t>
            </w:r>
          </w:p>
        </w:tc>
        <w:tc>
          <w:tcPr>
            <w:tcW w:w="154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专</w:t>
            </w:r>
            <w:r>
              <w:rPr>
                <w:rFonts w:ascii="黑体" w:hAnsi="黑体" w:eastAsia="黑体" w:cs="宋体"/>
                <w:color w:val="000000"/>
                <w:kern w:val="0"/>
                <w:sz w:val="20"/>
                <w:szCs w:val="20"/>
              </w:rPr>
              <w:t xml:space="preserve">    </w:t>
            </w:r>
            <w:r>
              <w:rPr>
                <w:rFonts w:hint="eastAsia" w:ascii="黑体" w:hAnsi="黑体" w:eastAsia="黑体" w:cs="宋体"/>
                <w:color w:val="000000"/>
                <w:kern w:val="0"/>
                <w:sz w:val="20"/>
                <w:szCs w:val="20"/>
              </w:rPr>
              <w:t>业</w:t>
            </w:r>
          </w:p>
        </w:tc>
        <w:tc>
          <w:tcPr>
            <w:tcW w:w="69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毕业院校</w:t>
            </w:r>
          </w:p>
        </w:tc>
        <w:tc>
          <w:tcPr>
            <w:tcW w:w="69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专业技术职务任职资格</w:t>
            </w:r>
          </w:p>
        </w:tc>
        <w:tc>
          <w:tcPr>
            <w:tcW w:w="81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执（职）业资格</w:t>
            </w:r>
          </w:p>
        </w:tc>
        <w:tc>
          <w:tcPr>
            <w:tcW w:w="169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年龄</w:t>
            </w:r>
          </w:p>
        </w:tc>
        <w:tc>
          <w:tcPr>
            <w:tcW w:w="290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备</w:t>
            </w:r>
            <w:r>
              <w:rPr>
                <w:rFonts w:ascii="黑体" w:hAnsi="黑体" w:eastAsia="黑体" w:cs="宋体"/>
                <w:color w:val="000000"/>
                <w:kern w:val="0"/>
                <w:sz w:val="20"/>
                <w:szCs w:val="20"/>
              </w:rPr>
              <w:t xml:space="preserve">  </w:t>
            </w:r>
            <w:r>
              <w:rPr>
                <w:rFonts w:hint="eastAsia" w:ascii="黑体" w:hAnsi="黑体" w:eastAsia="黑体" w:cs="宋体"/>
                <w:color w:val="000000"/>
                <w:kern w:val="0"/>
                <w:sz w:val="20"/>
                <w:szCs w:val="20"/>
              </w:rPr>
              <w:t>注</w:t>
            </w:r>
          </w:p>
        </w:tc>
      </w:tr>
      <w:tr>
        <w:tblPrEx>
          <w:tblCellMar>
            <w:top w:w="0" w:type="dxa"/>
            <w:left w:w="108" w:type="dxa"/>
            <w:bottom w:w="0" w:type="dxa"/>
            <w:right w:w="108" w:type="dxa"/>
          </w:tblCellMar>
        </w:tblPrEx>
        <w:trPr>
          <w:trHeight w:val="843" w:hRule="atLeast"/>
        </w:trPr>
        <w:tc>
          <w:tcPr>
            <w:tcW w:w="48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1</w:t>
            </w:r>
          </w:p>
        </w:tc>
        <w:tc>
          <w:tcPr>
            <w:tcW w:w="120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旺苍县卫生</w:t>
            </w:r>
          </w:p>
          <w:p>
            <w:pPr>
              <w:widowControl/>
              <w:jc w:val="center"/>
              <w:rPr>
                <w:rFonts w:ascii="宋体" w:cs="宋体"/>
                <w:kern w:val="0"/>
                <w:sz w:val="18"/>
                <w:szCs w:val="18"/>
              </w:rPr>
            </w:pPr>
            <w:r>
              <w:rPr>
                <w:rFonts w:hint="eastAsia" w:ascii="宋体" w:cs="宋体"/>
                <w:kern w:val="0"/>
                <w:sz w:val="18"/>
                <w:szCs w:val="18"/>
              </w:rPr>
              <w:t>健康局</w:t>
            </w:r>
          </w:p>
        </w:tc>
        <w:tc>
          <w:tcPr>
            <w:tcW w:w="7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旺苍县人民医院</w:t>
            </w:r>
          </w:p>
        </w:tc>
        <w:tc>
          <w:tcPr>
            <w:tcW w:w="90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急诊（专业技术岗位）</w:t>
            </w:r>
          </w:p>
        </w:tc>
        <w:tc>
          <w:tcPr>
            <w:tcW w:w="9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2020401</w:t>
            </w:r>
          </w:p>
        </w:tc>
        <w:tc>
          <w:tcPr>
            <w:tcW w:w="631"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w:t>
            </w:r>
          </w:p>
        </w:tc>
        <w:tc>
          <w:tcPr>
            <w:tcW w:w="71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本科</w:t>
            </w:r>
          </w:p>
          <w:p>
            <w:pPr>
              <w:widowControl/>
              <w:jc w:val="center"/>
              <w:rPr>
                <w:rFonts w:ascii="宋体" w:cs="宋体"/>
                <w:kern w:val="0"/>
                <w:sz w:val="18"/>
                <w:szCs w:val="18"/>
              </w:rPr>
            </w:pPr>
            <w:r>
              <w:rPr>
                <w:rFonts w:hint="eastAsia" w:ascii="宋体" w:cs="宋体"/>
                <w:kern w:val="0"/>
                <w:sz w:val="18"/>
                <w:szCs w:val="18"/>
              </w:rPr>
              <w:t>及以上</w:t>
            </w:r>
          </w:p>
        </w:tc>
        <w:tc>
          <w:tcPr>
            <w:tcW w:w="637" w:type="dxa"/>
            <w:tcBorders>
              <w:top w:val="nil"/>
              <w:left w:val="nil"/>
              <w:bottom w:val="single" w:color="auto" w:sz="4" w:space="0"/>
              <w:right w:val="single" w:color="auto" w:sz="4" w:space="0"/>
            </w:tcBorders>
            <w:vAlign w:val="center"/>
          </w:tcPr>
          <w:p>
            <w:pPr>
              <w:widowControl/>
              <w:rPr>
                <w:rFonts w:ascii="宋体" w:cs="宋体"/>
                <w:kern w:val="0"/>
                <w:sz w:val="18"/>
                <w:szCs w:val="18"/>
              </w:rPr>
            </w:pPr>
          </w:p>
        </w:tc>
        <w:tc>
          <w:tcPr>
            <w:tcW w:w="1547"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内科学 /临床医学/急诊医学</w:t>
            </w:r>
          </w:p>
        </w:tc>
        <w:tc>
          <w:tcPr>
            <w:tcW w:w="694"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全日制普通高校</w:t>
            </w:r>
          </w:p>
        </w:tc>
        <w:tc>
          <w:tcPr>
            <w:tcW w:w="694"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816"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执业医师</w:t>
            </w:r>
          </w:p>
        </w:tc>
        <w:tc>
          <w:tcPr>
            <w:tcW w:w="1692"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30周岁及以下；主治医师资格人员年龄可放宽35周岁；副主任医师资格人员，年龄可放宽至45周岁</w:t>
            </w:r>
          </w:p>
        </w:tc>
        <w:tc>
          <w:tcPr>
            <w:tcW w:w="290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2019年相应专业本科毕业生执业资格可暂不作要求；具有相应专业中级及以上职称人员毕业院校可不受全日制普通高校限制。</w:t>
            </w:r>
          </w:p>
        </w:tc>
      </w:tr>
      <w:tr>
        <w:tblPrEx>
          <w:tblCellMar>
            <w:top w:w="0" w:type="dxa"/>
            <w:left w:w="108" w:type="dxa"/>
            <w:bottom w:w="0" w:type="dxa"/>
            <w:right w:w="108" w:type="dxa"/>
          </w:tblCellMar>
        </w:tblPrEx>
        <w:trPr>
          <w:trHeight w:val="843" w:hRule="atLeast"/>
        </w:trPr>
        <w:tc>
          <w:tcPr>
            <w:tcW w:w="48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w:t>
            </w:r>
          </w:p>
        </w:tc>
        <w:tc>
          <w:tcPr>
            <w:tcW w:w="120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旺苍县卫生</w:t>
            </w:r>
          </w:p>
          <w:p>
            <w:pPr>
              <w:widowControl/>
              <w:jc w:val="center"/>
              <w:rPr>
                <w:rFonts w:ascii="宋体" w:cs="宋体"/>
                <w:kern w:val="0"/>
                <w:sz w:val="18"/>
                <w:szCs w:val="18"/>
              </w:rPr>
            </w:pPr>
            <w:r>
              <w:rPr>
                <w:rFonts w:hint="eastAsia" w:ascii="宋体" w:cs="宋体"/>
                <w:kern w:val="0"/>
                <w:sz w:val="18"/>
                <w:szCs w:val="18"/>
              </w:rPr>
              <w:t>健康局</w:t>
            </w:r>
          </w:p>
        </w:tc>
        <w:tc>
          <w:tcPr>
            <w:tcW w:w="7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旺苍县中医院</w:t>
            </w:r>
          </w:p>
        </w:tc>
        <w:tc>
          <w:tcPr>
            <w:tcW w:w="902" w:type="dxa"/>
            <w:tcBorders>
              <w:top w:val="nil"/>
              <w:left w:val="nil"/>
              <w:bottom w:val="single" w:color="auto" w:sz="4" w:space="0"/>
              <w:right w:val="single" w:color="auto" w:sz="4" w:space="0"/>
            </w:tcBorders>
            <w:vAlign w:val="center"/>
          </w:tcPr>
          <w:p>
            <w:pPr>
              <w:jc w:val="center"/>
              <w:rPr>
                <w:rFonts w:ascii="宋体" w:hAnsi="宋体" w:cs="宋体"/>
                <w:b/>
                <w:bCs/>
                <w:sz w:val="18"/>
                <w:szCs w:val="18"/>
              </w:rPr>
            </w:pPr>
            <w:r>
              <w:rPr>
                <w:rFonts w:hint="eastAsia" w:ascii="宋体" w:cs="宋体"/>
                <w:kern w:val="0"/>
                <w:sz w:val="18"/>
                <w:szCs w:val="18"/>
              </w:rPr>
              <w:t>急诊（专业技术岗位）</w:t>
            </w:r>
          </w:p>
        </w:tc>
        <w:tc>
          <w:tcPr>
            <w:tcW w:w="9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2020402</w:t>
            </w:r>
          </w:p>
        </w:tc>
        <w:tc>
          <w:tcPr>
            <w:tcW w:w="631"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w:t>
            </w:r>
          </w:p>
        </w:tc>
        <w:tc>
          <w:tcPr>
            <w:tcW w:w="71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本科</w:t>
            </w:r>
          </w:p>
          <w:p>
            <w:pPr>
              <w:widowControl/>
              <w:jc w:val="center"/>
              <w:rPr>
                <w:rFonts w:ascii="宋体" w:cs="宋体"/>
                <w:kern w:val="0"/>
                <w:sz w:val="18"/>
                <w:szCs w:val="18"/>
              </w:rPr>
            </w:pPr>
            <w:r>
              <w:rPr>
                <w:rFonts w:hint="eastAsia" w:ascii="宋体" w:cs="宋体"/>
                <w:kern w:val="0"/>
                <w:sz w:val="18"/>
                <w:szCs w:val="18"/>
              </w:rPr>
              <w:t>及以上</w:t>
            </w:r>
          </w:p>
          <w:p>
            <w:pPr>
              <w:widowControl/>
              <w:rPr>
                <w:rFonts w:ascii="宋体" w:cs="宋体"/>
                <w:kern w:val="0"/>
                <w:sz w:val="18"/>
                <w:szCs w:val="18"/>
              </w:rPr>
            </w:pPr>
          </w:p>
        </w:tc>
        <w:tc>
          <w:tcPr>
            <w:tcW w:w="637"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1547"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内科学 /临床医学/急诊医学</w:t>
            </w:r>
          </w:p>
        </w:tc>
        <w:tc>
          <w:tcPr>
            <w:tcW w:w="694" w:type="dxa"/>
            <w:tcBorders>
              <w:top w:val="nil"/>
              <w:left w:val="nil"/>
              <w:bottom w:val="single" w:color="auto" w:sz="4" w:space="0"/>
              <w:right w:val="single" w:color="auto" w:sz="4" w:space="0"/>
            </w:tcBorders>
            <w:vAlign w:val="center"/>
          </w:tcPr>
          <w:p>
            <w:pPr>
              <w:rPr>
                <w:rFonts w:ascii="宋体" w:hAnsi="宋体" w:cs="宋体"/>
                <w:sz w:val="18"/>
                <w:szCs w:val="18"/>
              </w:rPr>
            </w:pPr>
          </w:p>
          <w:p>
            <w:pPr>
              <w:widowControl/>
              <w:rPr>
                <w:rFonts w:ascii="宋体" w:cs="宋体"/>
                <w:kern w:val="0"/>
                <w:sz w:val="18"/>
                <w:szCs w:val="18"/>
              </w:rPr>
            </w:pPr>
          </w:p>
        </w:tc>
        <w:tc>
          <w:tcPr>
            <w:tcW w:w="694"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816"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执业医师</w:t>
            </w:r>
          </w:p>
        </w:tc>
        <w:tc>
          <w:tcPr>
            <w:tcW w:w="1692" w:type="dxa"/>
            <w:tcBorders>
              <w:top w:val="nil"/>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35周岁及以下</w:t>
            </w:r>
          </w:p>
        </w:tc>
        <w:tc>
          <w:tcPr>
            <w:tcW w:w="2906" w:type="dxa"/>
            <w:tcBorders>
              <w:top w:val="nil"/>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2019年相应专业全日制本科毕业生执业资格可暂不作要求；具有相应专业中级以上职称人员学历可放宽到大专；规培生优先。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B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鲜林杞</cp:lastModifiedBy>
  <dcterms:modified xsi:type="dcterms:W3CDTF">2020-02-28T02:41:00Z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