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/>
        <w:ind w:left="0" w:right="0"/>
        <w:rPr>
          <w:sz w:val="36"/>
          <w:szCs w:val="36"/>
        </w:rPr>
      </w:pPr>
      <w:bookmarkStart w:id="0" w:name="_GoBack"/>
      <w:r>
        <w:rPr>
          <w:sz w:val="36"/>
          <w:szCs w:val="36"/>
          <w:shd w:val="clear" w:fill="FFFFFF"/>
        </w:rPr>
        <w:t>内蒙古农业大学引进优秀博士人才管理办法(试行)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95" w:lineRule="atLeast"/>
        <w:ind w:left="0" w:right="106" w:firstLine="600"/>
        <w:jc w:val="left"/>
        <w:rPr>
          <w:rFonts w:eastAsia="Tahoma"/>
          <w:color w:val="171F26"/>
        </w:rPr>
      </w:pPr>
      <w:r>
        <w:rPr>
          <w:rStyle w:val="7"/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第一条</w:t>
      </w: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为加强我校学科专业建设，吸引一批国内外优秀博士人才充实和优化教师队伍,进一步提高人才培养、科学研究、社会服务与文化传承的水平与能力，结合我校实际，特制定本办法。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95" w:lineRule="atLeast"/>
        <w:ind w:left="0" w:right="0" w:firstLine="600"/>
        <w:jc w:val="left"/>
        <w:rPr>
          <w:rFonts w:eastAsia="Tahoma"/>
          <w:color w:val="171F26"/>
        </w:rPr>
      </w:pPr>
      <w:r>
        <w:rPr>
          <w:rStyle w:val="7"/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第二条</w:t>
      </w: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本办法所称“优秀博士人才”是指：通过国内外公开招聘、绿色通道等形式入职，具备培养潜质、能够促进相关学科发展的博士毕业生、博士后出站人员等优秀人才；本校教师在职攻读国内外知名大学、研究机构博士毕业或博士后出站直接回校工作人员等。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95" w:lineRule="atLeast"/>
        <w:ind w:left="0" w:right="0" w:firstLine="600"/>
        <w:jc w:val="left"/>
        <w:rPr>
          <w:rFonts w:eastAsia="Tahoma"/>
          <w:color w:val="171F26"/>
        </w:rPr>
      </w:pPr>
      <w:r>
        <w:rPr>
          <w:rStyle w:val="7"/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第三条</w:t>
      </w: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坚持按需引进，严格程序标准，编入现有团队，实行合约管理。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95" w:lineRule="atLeast"/>
        <w:ind w:left="0" w:right="0" w:firstLine="600"/>
        <w:jc w:val="both"/>
        <w:rPr>
          <w:rFonts w:eastAsia="Tahoma"/>
          <w:color w:val="171F26"/>
        </w:rPr>
      </w:pPr>
      <w:r>
        <w:rPr>
          <w:rStyle w:val="7"/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第四条</w:t>
      </w: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学校成立“优秀博士人才评议工作组”，组长由主管人事工作的校领导担任，成员由学校人事处、教务处、研究生院、科技处、发展规划处、监察审计处负责人和相关学科4位校学术委员会专家担任，共11人组成。该工作小组下设办公室，办公室设在人事处，负责日常事务。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95" w:lineRule="atLeast"/>
        <w:ind w:left="0" w:right="0" w:firstLine="585"/>
        <w:jc w:val="both"/>
        <w:rPr>
          <w:rFonts w:eastAsia="Tahoma"/>
          <w:color w:val="171F26"/>
        </w:rPr>
      </w:pPr>
      <w:r>
        <w:rPr>
          <w:rStyle w:val="7"/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第五条</w:t>
      </w: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优秀博士人才设为四个层次，根据《内蒙古农业大学优秀博士人才评议指标体系》（见附件），对优秀博士人才的“教育背景”、“业绩成果”和“综合素质评价”等进行评议，按评议得分确定层次。对评议得分（N）在70分（不含）以上人员，按照学校《吸引和鼓励高层次人才在校工作暂行办法》管理；对评议得分在70分及以下的优秀博士人才，按如下分值确定层次区间：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95" w:lineRule="atLeast"/>
        <w:ind w:left="0" w:right="0" w:firstLine="585"/>
        <w:jc w:val="both"/>
        <w:rPr>
          <w:rFonts w:eastAsia="Tahoma"/>
          <w:color w:val="171F26"/>
        </w:rPr>
      </w:pP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 xml:space="preserve">第一层次  55&lt;N≤70分； 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95" w:lineRule="atLeast"/>
        <w:ind w:left="0" w:right="0" w:firstLine="585"/>
        <w:jc w:val="both"/>
        <w:rPr>
          <w:rFonts w:eastAsia="Tahoma"/>
          <w:color w:val="171F26"/>
        </w:rPr>
      </w:pP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 xml:space="preserve">第二层次  40&lt;N≤55分； 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95" w:lineRule="atLeast"/>
        <w:ind w:left="0" w:right="0" w:firstLine="585"/>
        <w:jc w:val="both"/>
        <w:rPr>
          <w:rFonts w:eastAsia="Tahoma"/>
          <w:color w:val="171F26"/>
        </w:rPr>
      </w:pP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 xml:space="preserve">第三层次  25&lt;N≤40分； 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95" w:lineRule="atLeast"/>
        <w:ind w:left="0" w:right="0" w:firstLine="585"/>
        <w:jc w:val="both"/>
        <w:rPr>
          <w:rFonts w:eastAsia="Tahoma"/>
          <w:color w:val="171F26"/>
        </w:rPr>
      </w:pP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第四层次  N≤25分。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95" w:lineRule="atLeast"/>
        <w:ind w:left="0" w:right="0" w:firstLine="600"/>
        <w:jc w:val="both"/>
        <w:rPr>
          <w:rFonts w:eastAsia="Tahoma"/>
          <w:color w:val="171F26"/>
        </w:rPr>
      </w:pPr>
      <w:r>
        <w:rPr>
          <w:rStyle w:val="7"/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第六条</w:t>
      </w: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优秀博士人才评议程序：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95" w:lineRule="atLeast"/>
        <w:ind w:left="0" w:right="0" w:firstLine="600"/>
        <w:jc w:val="both"/>
        <w:rPr>
          <w:rFonts w:eastAsia="Tahoma"/>
          <w:color w:val="171F26"/>
        </w:rPr>
      </w:pP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1、本人申请。申报人员在入职（回校）工作3个月后，根据本办法要求和本人实际情况填写《内蒙古农业大学优秀博士人才评议申请表》，并提交相应佐证材料。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95" w:lineRule="atLeast"/>
        <w:ind w:left="0" w:right="0" w:firstLine="600"/>
        <w:jc w:val="both"/>
        <w:rPr>
          <w:rFonts w:eastAsia="Tahoma"/>
          <w:color w:val="171F26"/>
        </w:rPr>
      </w:pP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、申报人所在单位初审。所在单位除对申报人相关材料进行一般性核实外，应组织专家组（教研室、院教授委员会的主要成员）就申报人学术水平、教学科研能力、发展潜力、综合素质、思想政治表现等进行评分，并提出评价意见。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95" w:lineRule="atLeast"/>
        <w:ind w:left="0" w:right="0" w:firstLine="600"/>
        <w:jc w:val="both"/>
        <w:rPr>
          <w:rFonts w:eastAsia="Tahoma"/>
          <w:color w:val="171F26"/>
        </w:rPr>
      </w:pP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3、学校评审。人事处会同有关单位对各用人单位提交的申请材料进行审查，组织学校优秀博士人才评议工作组开展评审，对优秀博士人才层次、相关待遇及所聘岗位提出意见；人事处将优秀博士人才分层次建议材料进行汇总。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95" w:lineRule="atLeast"/>
        <w:ind w:left="0" w:right="0" w:firstLine="600"/>
        <w:jc w:val="both"/>
        <w:rPr>
          <w:rFonts w:eastAsia="Tahoma"/>
          <w:color w:val="171F26"/>
        </w:rPr>
      </w:pP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4、校长办公会审议后由党委会批准。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95" w:lineRule="atLeast"/>
        <w:ind w:left="0" w:right="0" w:firstLine="600"/>
        <w:jc w:val="both"/>
        <w:rPr>
          <w:rFonts w:eastAsia="Tahoma"/>
          <w:color w:val="171F26"/>
        </w:rPr>
      </w:pPr>
      <w:r>
        <w:rPr>
          <w:rStyle w:val="7"/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第七条</w:t>
      </w: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各层次优秀博士人才待遇</w:t>
      </w:r>
    </w:p>
    <w:tbl>
      <w:tblPr>
        <w:tblW w:w="7605" w:type="dxa"/>
        <w:jc w:val="center"/>
        <w:tblInd w:w="4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0"/>
        <w:gridCol w:w="1737"/>
        <w:gridCol w:w="2005"/>
        <w:gridCol w:w="18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层次</w:t>
            </w:r>
          </w:p>
        </w:tc>
        <w:tc>
          <w:tcPr>
            <w:tcW w:w="17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聘任岗位</w:t>
            </w:r>
          </w:p>
        </w:tc>
        <w:tc>
          <w:tcPr>
            <w:tcW w:w="2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生活补贴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科研启动金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第一层次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副教授BⅡ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25万元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20-40万元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第二层次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副教授BⅢ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15万元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10-20万元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第三层次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讲师CⅠ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5万元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3-10万元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第四层次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讲师CⅡ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3万元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9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2万元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95" w:lineRule="atLeast"/>
        <w:ind w:left="0" w:right="0"/>
        <w:jc w:val="left"/>
        <w:rPr>
          <w:rFonts w:eastAsia="Tahoma"/>
          <w:color w:val="171F26"/>
        </w:rPr>
      </w:pPr>
      <w:r>
        <w:rPr>
          <w:rStyle w:val="7"/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  第八条</w:t>
      </w: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 xml:space="preserve"> 对引进的优秀博士人才的聘任岗位，除第四层次“讲师CⅡ”岗位为正常聘任外，第一至第三层次聘任岗位均为低职高聘。低职高聘人才在引进聘期内未得到正常专业技术职务评审晋升，引进聘期结束后恢复至同批第四层次人员正常聘任岗位。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95" w:lineRule="atLeast"/>
        <w:ind w:left="0" w:right="0" w:firstLine="600"/>
        <w:jc w:val="left"/>
        <w:rPr>
          <w:rFonts w:eastAsia="Tahoma"/>
          <w:color w:val="171F26"/>
        </w:rPr>
      </w:pPr>
      <w:r>
        <w:rPr>
          <w:rStyle w:val="7"/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第九条</w:t>
      </w: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 xml:space="preserve"> “生活补贴”由人事处牵头，财务处协助落实，一次性支付并按国家规定缴纳个人所得税。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95" w:lineRule="atLeast"/>
        <w:ind w:left="0" w:right="0" w:firstLine="600"/>
        <w:jc w:val="left"/>
        <w:rPr>
          <w:rFonts w:eastAsia="Tahoma"/>
          <w:color w:val="171F26"/>
        </w:rPr>
      </w:pPr>
      <w:r>
        <w:rPr>
          <w:rStyle w:val="7"/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第十条</w:t>
      </w: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 xml:space="preserve"> “科研启动金”由人事处牵头，科技处、财务处协助落实。科研启动金纳入学校科研项目管理，本人按项目申请，批准立项后分期拨付使用，低于10万元（不含）可一次拨付使用。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95" w:lineRule="atLeast"/>
        <w:ind w:left="0" w:right="0" w:firstLine="600"/>
        <w:jc w:val="left"/>
        <w:rPr>
          <w:rFonts w:eastAsia="Tahoma"/>
          <w:color w:val="171F26"/>
        </w:rPr>
      </w:pPr>
      <w:r>
        <w:rPr>
          <w:rStyle w:val="7"/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第十一条</w:t>
      </w: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第一、二层次的优秀博士人才其配偶愿意来我校就业的，可根据有关政策规定按学校编制外工作人员聘任。</w:t>
      </w:r>
      <w:r>
        <w:rPr>
          <w:rFonts w:hint="default" w:ascii="Calibri" w:hAnsi="Calibri" w:eastAsia="Tahoma" w:cs="Calibri"/>
          <w:color w:val="171F26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95" w:lineRule="atLeast"/>
        <w:ind w:left="0" w:right="0" w:firstLine="585"/>
        <w:jc w:val="both"/>
        <w:rPr>
          <w:rFonts w:eastAsia="Tahoma"/>
          <w:color w:val="171F26"/>
        </w:rPr>
      </w:pPr>
      <w:r>
        <w:rPr>
          <w:rStyle w:val="7"/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第十二条</w:t>
      </w: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学校以签订“补充协议”方式进一步明确双方的具体权利和义务及违约责任。根据聘用合同和“补充协议”规定的岗位职责及工作任务，实行目标管理与考核。“补充协议”一般以4年作为引进聘期。优秀博士人才在引进聘期内，进行年度考核，引进聘期末进行聘期考核，考核工作由用人单位负责。年度考核既要考核其教师岗位职责完成情况，也要考核其“补充协议”中的约定职责。对年度考核不合格者，应告诫谈话，督促其提出下一阶段整改方案，并报人事处备案。对聘期考核不合格的人员，学校视情况予以解聘，并追究本人违约责任，包括解聘因引进而安置的配偶工作岗位。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95" w:lineRule="atLeast"/>
        <w:ind w:left="0" w:right="0" w:firstLine="585"/>
        <w:jc w:val="both"/>
        <w:rPr>
          <w:rFonts w:eastAsia="Tahoma"/>
          <w:color w:val="171F26"/>
        </w:rPr>
      </w:pPr>
      <w:r>
        <w:rPr>
          <w:rStyle w:val="7"/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第十三条</w:t>
      </w: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优秀博士人才必须在我校服务10年。在服务期限内，原则上不得提出调动、辞职等申请。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95" w:lineRule="atLeast"/>
        <w:ind w:left="0" w:right="0" w:firstLine="600"/>
        <w:jc w:val="left"/>
        <w:rPr>
          <w:rFonts w:eastAsia="Tahoma"/>
          <w:color w:val="171F26"/>
        </w:rPr>
      </w:pPr>
      <w:r>
        <w:rPr>
          <w:rStyle w:val="7"/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第十四条</w:t>
      </w: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本办法执行前与学校签订相关协议的，仍按原协议执行。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95" w:lineRule="atLeast"/>
        <w:ind w:left="0" w:right="0" w:firstLine="600"/>
        <w:jc w:val="both"/>
        <w:rPr>
          <w:rFonts w:eastAsia="Tahoma"/>
          <w:color w:val="171F26"/>
        </w:rPr>
      </w:pPr>
      <w:r>
        <w:rPr>
          <w:rStyle w:val="7"/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第十五条</w:t>
      </w: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本办法自公布之日起执行，由人事处负责解释。如遇与本办法不一致的规定，以本办法为准。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600" w:lineRule="atLeast"/>
        <w:ind w:left="0" w:right="0"/>
        <w:jc w:val="both"/>
        <w:rPr>
          <w:rFonts w:eastAsia="Tahoma"/>
          <w:color w:val="171F26"/>
        </w:rPr>
      </w:pP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600" w:lineRule="atLeast"/>
        <w:ind w:left="0" w:right="0"/>
        <w:jc w:val="center"/>
        <w:rPr>
          <w:rFonts w:eastAsia="Tahoma"/>
          <w:color w:val="171F26"/>
        </w:rPr>
      </w:pPr>
      <w:r>
        <w:rPr>
          <w:rFonts w:hint="eastAsia" w:ascii="黑体" w:hAnsi="宋体" w:eastAsia="黑体" w:cs="黑体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内蒙古农业大学优秀博士人才评议指标体系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600" w:lineRule="atLeast"/>
        <w:ind w:left="0" w:right="0" w:firstLine="600"/>
        <w:jc w:val="both"/>
        <w:rPr>
          <w:rFonts w:eastAsia="Tahoma"/>
          <w:color w:val="171F26"/>
        </w:rPr>
      </w:pPr>
      <w:r>
        <w:rPr>
          <w:rStyle w:val="7"/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一、教育背景（30分）</w:t>
      </w:r>
    </w:p>
    <w:tbl>
      <w:tblPr>
        <w:tblW w:w="8280" w:type="dxa"/>
        <w:jc w:val="center"/>
        <w:tblInd w:w="1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1410"/>
        <w:gridCol w:w="1275"/>
        <w:gridCol w:w="1702"/>
        <w:gridCol w:w="18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国内一流大学（原985）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国内知名大学（原211）</w:t>
            </w:r>
          </w:p>
        </w:tc>
        <w:tc>
          <w:tcPr>
            <w:tcW w:w="17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普通本科院校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（具有博士授予权单位）</w:t>
            </w:r>
          </w:p>
        </w:tc>
        <w:tc>
          <w:tcPr>
            <w:tcW w:w="18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普通本科院校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（无博士授予权单位）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博士后出站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828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注：1、国家级研究院所原则上根据层次参照国内一流大学;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both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2、高中阶段为蒙语授课考生的本科背景可按上一层次学校计分；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both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3、国外大学、科研机构及其他未包含的培养单位的层次由学校“优秀博士人才评议工作组”认定。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600" w:lineRule="atLeast"/>
        <w:ind w:left="0" w:right="0" w:firstLine="600"/>
        <w:jc w:val="both"/>
        <w:rPr>
          <w:rFonts w:eastAsia="Tahoma"/>
          <w:color w:val="171F26"/>
        </w:rPr>
      </w:pPr>
      <w:r>
        <w:rPr>
          <w:rStyle w:val="7"/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二、科研业绩（60分）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600" w:lineRule="atLeast"/>
        <w:ind w:left="0" w:right="0"/>
        <w:jc w:val="both"/>
        <w:rPr>
          <w:rFonts w:eastAsia="Tahoma"/>
          <w:color w:val="171F26"/>
        </w:rPr>
      </w:pPr>
      <w:r>
        <w:rPr>
          <w:rStyle w:val="7"/>
          <w:rFonts w:hint="default" w:ascii="仿宋_GB2312" w:hAnsi="仿宋_GB2312" w:eastAsia="仿宋_GB2312" w:cs="仿宋_GB2312"/>
          <w:color w:val="171F26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  1．论文：45分</w:t>
      </w:r>
    </w:p>
    <w:tbl>
      <w:tblPr>
        <w:tblW w:w="8565" w:type="dxa"/>
        <w:jc w:val="center"/>
        <w:tblInd w:w="-2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4380"/>
        <w:gridCol w:w="1740"/>
        <w:gridCol w:w="11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级别</w:t>
            </w:r>
          </w:p>
        </w:tc>
        <w:tc>
          <w:tcPr>
            <w:tcW w:w="4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学术论文</w:t>
            </w: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基准分值/篇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SCI、SSCI一区检索的本学科学术期刊论文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SCI、SSCI二区检索的本学科学术期刊论文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SCI、SSCI三区检索的本学科学术期刊论文；《中国社会科学》、《新华文摘》全文转载; A&amp;HCI收录论文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SCI、SSCI四区、EI检索的本学科学术期刊论文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CSCD 、CSSCI检索前10%期刊的本学科学术论文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其他CSCD、CSSCI检索的本学科学术论文、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说明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1、SCI、SSCI分区以中科院年度分区为准。 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2、以上指独立或通讯第一作者，并列第一作者降一档次计分；非第一作者或并列第二顺序以后通讯作者不计分。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3、“首次报道”类文章不作为学术论文计分。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4、农林经济管理学科按实测得分乘1.5系数计分。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05" w:lineRule="atLeast"/>
        <w:ind w:left="0" w:right="0"/>
        <w:jc w:val="both"/>
        <w:rPr>
          <w:rFonts w:eastAsia="Tahoma"/>
          <w:color w:val="171F26"/>
        </w:rPr>
      </w:pPr>
      <w:r>
        <w:rPr>
          <w:rStyle w:val="7"/>
          <w:rFonts w:hint="default" w:ascii="仿宋_GB2312" w:hAnsi="仿宋_GB2312" w:eastAsia="仿宋_GB2312" w:cs="仿宋_GB2312"/>
          <w:color w:val="171F26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 2．主持过科研项目:4分</w:t>
      </w:r>
    </w:p>
    <w:tbl>
      <w:tblPr>
        <w:tblW w:w="8610" w:type="dxa"/>
        <w:jc w:val="center"/>
        <w:tblInd w:w="-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845"/>
        <w:gridCol w:w="1125"/>
        <w:gridCol w:w="44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主持人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最高分</w:t>
            </w:r>
          </w:p>
        </w:tc>
        <w:tc>
          <w:tcPr>
            <w:tcW w:w="4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left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指纵向课题，不分级次。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省部级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05" w:lineRule="atLeast"/>
        <w:ind w:left="0" w:right="0"/>
        <w:jc w:val="both"/>
        <w:rPr>
          <w:rFonts w:eastAsia="Tahoma"/>
          <w:color w:val="171F26"/>
        </w:rPr>
      </w:pPr>
      <w:r>
        <w:rPr>
          <w:rStyle w:val="7"/>
          <w:rFonts w:hint="default" w:ascii="仿宋_GB2312" w:hAnsi="仿宋_GB2312" w:eastAsia="仿宋_GB2312" w:cs="仿宋_GB2312"/>
          <w:color w:val="171F26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 3．科研成果获奖：6分</w:t>
      </w:r>
    </w:p>
    <w:tbl>
      <w:tblPr>
        <w:tblW w:w="8865" w:type="dxa"/>
        <w:jc w:val="center"/>
        <w:tblInd w:w="-17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1542"/>
        <w:gridCol w:w="2425"/>
        <w:gridCol w:w="1258"/>
        <w:gridCol w:w="1078"/>
        <w:gridCol w:w="12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54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主持人</w:t>
            </w:r>
          </w:p>
        </w:tc>
        <w:tc>
          <w:tcPr>
            <w:tcW w:w="24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主要参与人（国家前5名、省级前3名）</w:t>
            </w: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最高分</w:t>
            </w:r>
          </w:p>
        </w:tc>
        <w:tc>
          <w:tcPr>
            <w:tcW w:w="121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有主持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无主持</w:t>
            </w:r>
          </w:p>
        </w:tc>
        <w:tc>
          <w:tcPr>
            <w:tcW w:w="121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3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9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both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优秀奖不计分。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3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省部级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9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405" w:lineRule="atLeast"/>
        <w:ind w:left="0" w:right="0"/>
        <w:jc w:val="both"/>
        <w:rPr>
          <w:rFonts w:eastAsia="Tahoma"/>
          <w:color w:val="171F26"/>
        </w:rPr>
      </w:pPr>
      <w:r>
        <w:rPr>
          <w:rStyle w:val="7"/>
          <w:rFonts w:hint="default" w:ascii="仿宋_GB2312" w:hAnsi="仿宋_GB2312" w:eastAsia="仿宋_GB2312" w:cs="仿宋_GB2312"/>
          <w:color w:val="171F26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 4．出版物、专利：5分</w:t>
      </w:r>
    </w:p>
    <w:tbl>
      <w:tblPr>
        <w:tblW w:w="8865" w:type="dxa"/>
        <w:jc w:val="center"/>
        <w:tblInd w:w="-17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1259"/>
        <w:gridCol w:w="1258"/>
        <w:gridCol w:w="1467"/>
        <w:gridCol w:w="1228"/>
        <w:gridCol w:w="1033"/>
        <w:gridCol w:w="10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75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0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最高分</w:t>
            </w:r>
          </w:p>
        </w:tc>
        <w:tc>
          <w:tcPr>
            <w:tcW w:w="1079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著作或教材</w:t>
            </w:r>
          </w:p>
        </w:tc>
        <w:tc>
          <w:tcPr>
            <w:tcW w:w="521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left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正式出版的本专业学术著作主编3分、副主编2分；参编人员1分；出版个人美术作品集1分。</w:t>
            </w:r>
          </w:p>
        </w:tc>
        <w:tc>
          <w:tcPr>
            <w:tcW w:w="103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left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与本专业无关的出版物、专利不计分。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1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译著、工具书</w:t>
            </w:r>
          </w:p>
        </w:tc>
        <w:tc>
          <w:tcPr>
            <w:tcW w:w="521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2分</w:t>
            </w:r>
          </w:p>
        </w:tc>
        <w:tc>
          <w:tcPr>
            <w:tcW w:w="103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154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left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第一、二完成人专利等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国家标准（GB）、发明专利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实用新型专利、动植物品种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软件著作权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外观设计专利、行业标准</w:t>
            </w:r>
          </w:p>
        </w:tc>
        <w:tc>
          <w:tcPr>
            <w:tcW w:w="103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171F2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15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2分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1分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0.8分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eastAsia="Tahoma"/>
                <w:color w:val="171F26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0.5分</w:t>
            </w:r>
          </w:p>
        </w:tc>
        <w:tc>
          <w:tcPr>
            <w:tcW w:w="10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600" w:lineRule="atLeast"/>
        <w:ind w:left="0" w:right="0" w:firstLine="600"/>
        <w:jc w:val="both"/>
        <w:rPr>
          <w:rFonts w:eastAsia="Tahoma"/>
          <w:color w:val="171F26"/>
        </w:rPr>
      </w:pPr>
      <w:r>
        <w:rPr>
          <w:rStyle w:val="7"/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三、考核评价（10分）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600" w:lineRule="atLeast"/>
        <w:ind w:left="0" w:right="0" w:firstLine="600"/>
        <w:jc w:val="both"/>
        <w:rPr>
          <w:rFonts w:eastAsia="Tahoma"/>
          <w:color w:val="171F26"/>
        </w:rPr>
      </w:pP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   由申报人所在单位根据其综合素质和工作情况进行评价，给出评价报告并附分值。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600" w:lineRule="atLeast"/>
        <w:ind w:left="0" w:right="0" w:firstLine="600"/>
        <w:jc w:val="both"/>
        <w:rPr>
          <w:rFonts w:eastAsia="Tahoma"/>
          <w:color w:val="171F26"/>
        </w:rPr>
      </w:pPr>
      <w:r>
        <w:rPr>
          <w:rStyle w:val="7"/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四、其他说明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600" w:lineRule="atLeast"/>
        <w:ind w:left="0" w:right="0"/>
        <w:jc w:val="both"/>
        <w:rPr>
          <w:rFonts w:eastAsia="Tahoma"/>
          <w:color w:val="171F26"/>
        </w:rPr>
      </w:pP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      1、科研业绩成果计算时间从攻读博士学位（硕博连读从硕士入学后第3年）开始至评价时点截止，由学校人事处认定；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600" w:lineRule="atLeast"/>
        <w:ind w:left="0" w:right="0" w:firstLine="585"/>
        <w:jc w:val="both"/>
        <w:rPr>
          <w:rFonts w:eastAsia="Tahoma"/>
          <w:color w:val="171F26"/>
        </w:rPr>
      </w:pP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   2、论文等级由图书馆核查认定，SCI、SSCI发表文章分区以中科院年度分区为准；</w:t>
      </w:r>
    </w:p>
    <w:p>
      <w:pPr>
        <w:keepNext w:val="0"/>
        <w:keepLines w:val="0"/>
        <w:widowControl/>
        <w:suppressLineNumbers w:val="0"/>
        <w:shd w:val="clear" w:fill="FFFFFF"/>
        <w:spacing w:before="76" w:beforeAutospacing="0" w:after="0" w:afterAutospacing="0" w:line="600" w:lineRule="atLeast"/>
        <w:ind w:left="0" w:right="0" w:firstLine="585"/>
        <w:jc w:val="both"/>
        <w:rPr>
          <w:rFonts w:eastAsia="Tahoma"/>
          <w:color w:val="171F26"/>
        </w:rPr>
      </w:pPr>
      <w:r>
        <w:rPr>
          <w:rFonts w:hint="default" w:ascii="仿宋_GB2312" w:hAnsi="仿宋_GB2312" w:eastAsia="仿宋_GB2312" w:cs="仿宋_GB2312"/>
          <w:color w:val="171F26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   3、其他科研成果由所在单位审核盖章后，到科技处认定。</w:t>
      </w:r>
    </w:p>
    <w:p>
      <w:pPr>
        <w:keepNext w:val="0"/>
        <w:keepLines w:val="0"/>
        <w:widowControl/>
        <w:suppressLineNumbers w:val="0"/>
        <w:spacing w:before="76" w:beforeAutospacing="0" w:after="0" w:afterAutospacing="0"/>
        <w:ind w:left="0" w:right="0"/>
        <w:jc w:val="both"/>
        <w:rPr>
          <w:rFonts w:eastAsia="Tahoma"/>
          <w:color w:val="171F26"/>
        </w:rPr>
      </w:pPr>
      <w:r>
        <w:rPr>
          <w:rFonts w:hint="default" w:ascii="Calibri" w:hAnsi="Calibri" w:eastAsia="Tahoma" w:cs="Calibri"/>
          <w:color w:val="171F26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14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1" w:after="0" w:afterAutospacing="1"/>
      <w:jc w:val="center"/>
    </w:pPr>
    <w:rPr>
      <w:rFonts w:hint="eastAsia" w:ascii="宋体" w:hAnsi="宋体" w:eastAsia="宋体" w:cs="宋体"/>
      <w:b/>
      <w:color w:val="000000"/>
      <w:kern w:val="44"/>
      <w:sz w:val="27"/>
      <w:szCs w:val="27"/>
      <w:u w:val="none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2414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324143"/>
      <w:u w:val="none"/>
    </w:rPr>
  </w:style>
  <w:style w:type="character" w:customStyle="1" w:styleId="11">
    <w:name w:val="页眉 Char"/>
    <w:basedOn w:val="6"/>
    <w:link w:val="4"/>
    <w:uiPriority w:val="0"/>
    <w:rPr>
      <w:rFonts w:hint="default" w:ascii="Calibri" w:hAnsi="Calibri" w:cs="Calibri"/>
    </w:rPr>
  </w:style>
  <w:style w:type="character" w:customStyle="1" w:styleId="12">
    <w:name w:val="页脚 Char"/>
    <w:basedOn w:val="6"/>
    <w:link w:val="3"/>
    <w:uiPriority w:val="0"/>
    <w:rPr>
      <w:rFonts w:hint="default" w:ascii="Calibri" w:hAnsi="Calibri" w:cs="Calibri"/>
    </w:rPr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2019-06-12T01:08:30Z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