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val="0"/>
        <w:spacing w:line="600" w:lineRule="exact"/>
        <w:rPr>
          <w:rFonts w:ascii="仿宋_GB2312" w:hAnsi="仿宋_GB2312" w:eastAsia="仿宋_GB2312"/>
          <w:bCs/>
          <w:color w:val="auto"/>
          <w:sz w:val="28"/>
          <w:szCs w:val="18"/>
          <w:highlight w:val="none"/>
        </w:rPr>
      </w:pPr>
      <w:bookmarkStart w:id="0" w:name="_GoBack"/>
      <w:r>
        <w:rPr>
          <w:rFonts w:hint="eastAsia" w:ascii="仿宋_GB2312" w:hAnsi="仿宋_GB2312" w:eastAsia="仿宋_GB2312"/>
          <w:bCs/>
          <w:color w:val="auto"/>
          <w:sz w:val="28"/>
          <w:szCs w:val="18"/>
          <w:highlight w:val="none"/>
        </w:rPr>
        <w:t>附件2</w:t>
      </w:r>
    </w:p>
    <w:p>
      <w:pPr>
        <w:keepNext w:val="0"/>
        <w:keepLines w:val="0"/>
        <w:pageBreakBefore w:val="0"/>
        <w:kinsoku/>
        <w:wordWrap/>
        <w:overflowPunct/>
        <w:topLinePunct w:val="0"/>
        <w:bidi w:val="0"/>
        <w:snapToGrid w:val="0"/>
        <w:spacing w:line="600" w:lineRule="exact"/>
        <w:jc w:val="center"/>
        <w:rPr>
          <w:rFonts w:hint="eastAsia" w:ascii="新宋体" w:eastAsia="新宋体"/>
          <w:b/>
          <w:color w:val="auto"/>
          <w:sz w:val="44"/>
          <w:highlight w:val="none"/>
        </w:rPr>
      </w:pPr>
      <w:r>
        <w:rPr>
          <w:rFonts w:hint="eastAsia" w:ascii="新宋体" w:eastAsia="新宋体"/>
          <w:b/>
          <w:color w:val="auto"/>
          <w:sz w:val="44"/>
          <w:highlight w:val="none"/>
        </w:rPr>
        <w:t>2019年泰安市泰山区公开招聘基层卫生</w:t>
      </w:r>
    </w:p>
    <w:p>
      <w:pPr>
        <w:keepNext w:val="0"/>
        <w:keepLines w:val="0"/>
        <w:pageBreakBefore w:val="0"/>
        <w:kinsoku/>
        <w:wordWrap/>
        <w:overflowPunct/>
        <w:topLinePunct w:val="0"/>
        <w:bidi w:val="0"/>
        <w:snapToGrid w:val="0"/>
        <w:spacing w:line="600" w:lineRule="exact"/>
        <w:jc w:val="center"/>
        <w:rPr>
          <w:rFonts w:ascii="新宋体" w:eastAsia="新宋体"/>
          <w:b/>
          <w:color w:val="auto"/>
          <w:sz w:val="44"/>
          <w:highlight w:val="none"/>
        </w:rPr>
      </w:pPr>
      <w:r>
        <w:rPr>
          <w:rFonts w:hint="eastAsia" w:ascii="新宋体" w:eastAsia="新宋体"/>
          <w:b/>
          <w:color w:val="auto"/>
          <w:sz w:val="44"/>
          <w:highlight w:val="none"/>
        </w:rPr>
        <w:t>专业技术人员应聘须知</w:t>
      </w:r>
    </w:p>
    <w:p>
      <w:pPr>
        <w:pStyle w:val="2"/>
        <w:keepNext w:val="0"/>
        <w:keepLines w:val="0"/>
        <w:pageBreakBefore w:val="0"/>
        <w:kinsoku/>
        <w:wordWrap/>
        <w:overflowPunct/>
        <w:topLinePunct w:val="0"/>
        <w:bidi w:val="0"/>
        <w:snapToGrid w:val="0"/>
        <w:spacing w:line="600" w:lineRule="exact"/>
        <w:ind w:firstLine="624"/>
        <w:jc w:val="center"/>
        <w:rPr>
          <w:rFonts w:ascii="仿宋_GB2312" w:hAnsi="宋体" w:eastAsia="仿宋_GB2312"/>
          <w:color w:val="auto"/>
          <w:sz w:val="28"/>
          <w:highlight w:val="none"/>
        </w:rPr>
      </w:pP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1.哪些人员可以应聘？</w:t>
      </w:r>
    </w:p>
    <w:p>
      <w:pPr>
        <w:keepNext w:val="0"/>
        <w:keepLines w:val="0"/>
        <w:pageBreakBefore w:val="0"/>
        <w:kinsoku/>
        <w:wordWrap/>
        <w:overflowPunct/>
        <w:topLinePunct w:val="0"/>
        <w:bidi w:val="0"/>
        <w:snapToGrid w:val="0"/>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按照事业单位公开招聘的相关规定，凡符合《2019年泰安市泰山区公开招聘基层卫生专业技术人员简章》（以下简称《简章》）规定的条件及招聘岗位资格条件者，均可应聘。</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2.哪些人员不能应聘？</w:t>
      </w:r>
    </w:p>
    <w:p>
      <w:pPr>
        <w:keepNext w:val="0"/>
        <w:keepLines w:val="0"/>
        <w:pageBreakBefore w:val="0"/>
        <w:kinsoku/>
        <w:wordWrap/>
        <w:overflowPunct/>
        <w:topLinePunct w:val="0"/>
        <w:bidi w:val="0"/>
        <w:snapToGrid w:val="0"/>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（1）在读全日制普通高校非应届毕业生；</w:t>
      </w:r>
    </w:p>
    <w:p>
      <w:pPr>
        <w:keepNext w:val="0"/>
        <w:keepLines w:val="0"/>
        <w:pageBreakBefore w:val="0"/>
        <w:kinsoku/>
        <w:wordWrap/>
        <w:overflowPunct/>
        <w:topLinePunct w:val="0"/>
        <w:bidi w:val="0"/>
        <w:snapToGrid w:val="0"/>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（2）现役军人；</w:t>
      </w:r>
    </w:p>
    <w:p>
      <w:pPr>
        <w:keepNext w:val="0"/>
        <w:keepLines w:val="0"/>
        <w:pageBreakBefore w:val="0"/>
        <w:kinsoku/>
        <w:wordWrap/>
        <w:overflowPunct/>
        <w:topLinePunct w:val="0"/>
        <w:bidi w:val="0"/>
        <w:snapToGrid w:val="0"/>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（3）曾受过刑事处罚和曾被开除公职的人员；</w:t>
      </w:r>
    </w:p>
    <w:p>
      <w:pPr>
        <w:keepNext w:val="0"/>
        <w:keepLines w:val="0"/>
        <w:pageBreakBefore w:val="0"/>
        <w:kinsoku/>
        <w:wordWrap/>
        <w:overflowPunct/>
        <w:topLinePunct w:val="0"/>
        <w:bidi w:val="0"/>
        <w:snapToGrid w:val="0"/>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（4）法律法规规定不得聘用的其他情形的人员；</w:t>
      </w:r>
    </w:p>
    <w:p>
      <w:pPr>
        <w:keepNext w:val="0"/>
        <w:keepLines w:val="0"/>
        <w:pageBreakBefore w:val="0"/>
        <w:kinsoku/>
        <w:wordWrap/>
        <w:overflowPunct/>
        <w:topLinePunct w:val="0"/>
        <w:bidi w:val="0"/>
        <w:snapToGrid w:val="0"/>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（5）泰山区在编在职</w:t>
      </w:r>
      <w:r>
        <w:rPr>
          <w:rFonts w:hint="eastAsia" w:ascii="仿宋_GB2312" w:hAnsi="仿宋_GB2312" w:eastAsia="仿宋_GB2312" w:cs="仿宋_GB2312"/>
          <w:color w:val="auto"/>
          <w:sz w:val="32"/>
          <w:szCs w:val="32"/>
          <w:highlight w:val="none"/>
        </w:rPr>
        <w:t>（含</w:t>
      </w:r>
      <w:r>
        <w:rPr>
          <w:rFonts w:hint="eastAsia" w:ascii="仿宋_GB2312" w:hAnsi="仿宋_GB2312" w:eastAsia="仿宋_GB2312" w:cs="仿宋_GB2312"/>
          <w:color w:val="auto"/>
          <w:sz w:val="32"/>
          <w:szCs w:val="32"/>
          <w:highlight w:val="none"/>
          <w:lang w:eastAsia="zh-CN"/>
        </w:rPr>
        <w:t>纳入</w:t>
      </w:r>
      <w:r>
        <w:rPr>
          <w:rFonts w:hint="eastAsia" w:ascii="仿宋_GB2312" w:hAnsi="仿宋_GB2312" w:eastAsia="仿宋_GB2312" w:cs="仿宋_GB2312"/>
          <w:color w:val="auto"/>
          <w:sz w:val="32"/>
          <w:szCs w:val="32"/>
          <w:highlight w:val="none"/>
        </w:rPr>
        <w:t>人员控制总量备案管理人员）</w:t>
      </w:r>
      <w:r>
        <w:rPr>
          <w:rFonts w:hint="eastAsia" w:ascii="仿宋_GB2312" w:eastAsia="仿宋_GB2312"/>
          <w:color w:val="auto"/>
          <w:sz w:val="32"/>
          <w:szCs w:val="32"/>
          <w:highlight w:val="none"/>
        </w:rPr>
        <w:t>卫生专业技术人员不允许报考。</w:t>
      </w:r>
    </w:p>
    <w:p>
      <w:pPr>
        <w:keepNext w:val="0"/>
        <w:keepLines w:val="0"/>
        <w:pageBreakBefore w:val="0"/>
        <w:kinsoku/>
        <w:wordWrap/>
        <w:overflowPunct/>
        <w:topLinePunct w:val="0"/>
        <w:bidi w:val="0"/>
        <w:snapToGrid w:val="0"/>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应聘人员不得报考与本人有应回避亲属关系的岗位。</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3.留学回国人员应聘需要提供哪些材料？</w:t>
      </w:r>
    </w:p>
    <w:p>
      <w:pPr>
        <w:pStyle w:val="9"/>
        <w:keepNext w:val="0"/>
        <w:keepLines w:val="0"/>
        <w:pageBreakBefore w:val="0"/>
        <w:kinsoku/>
        <w:wordWrap/>
        <w:overflowPunct/>
        <w:topLinePunct w:val="0"/>
        <w:bidi w:val="0"/>
        <w:spacing w:line="600" w:lineRule="exact"/>
        <w:ind w:firstLine="624"/>
        <w:rPr>
          <w:rFonts w:ascii="仿宋_GB2312" w:eastAsia="仿宋_GB2312"/>
          <w:color w:val="auto"/>
          <w:sz w:val="32"/>
          <w:szCs w:val="32"/>
          <w:highlight w:val="none"/>
        </w:rPr>
      </w:pPr>
      <w:r>
        <w:rPr>
          <w:rFonts w:hint="eastAsia" w:ascii="仿宋_GB2312" w:eastAsia="仿宋_GB2312"/>
          <w:color w:val="auto"/>
          <w:sz w:val="32"/>
          <w:szCs w:val="32"/>
          <w:highlight w:val="none"/>
        </w:rPr>
        <w:t>留学回国人员应聘的，除需提供《简章》中规定的相关材料外，还要提供国家教育部门的学历学位认证</w:t>
      </w:r>
      <w:r>
        <w:rPr>
          <w:rFonts w:hint="eastAsia" w:ascii="仿宋_GB2312" w:eastAsia="仿宋_GB2312"/>
          <w:color w:val="auto"/>
          <w:sz w:val="32"/>
          <w:szCs w:val="32"/>
          <w:highlight w:val="none"/>
          <w:lang w:eastAsia="zh-CN"/>
        </w:rPr>
        <w:t>材料</w:t>
      </w:r>
      <w:r>
        <w:rPr>
          <w:rFonts w:hint="eastAsia" w:ascii="仿宋_GB2312" w:eastAsia="仿宋_GB2312"/>
          <w:color w:val="auto"/>
          <w:sz w:val="32"/>
          <w:szCs w:val="32"/>
          <w:highlight w:val="none"/>
        </w:rPr>
        <w:t>。应聘人员可登录教育部留学服务中心网站（http://www.cscse.edu.cn）查询认证的有关要求和程序。</w:t>
      </w:r>
      <w:r>
        <w:rPr>
          <w:rFonts w:hint="eastAsia" w:ascii="仿宋_GB2312" w:eastAsia="仿宋_GB2312"/>
          <w:color w:val="auto"/>
          <w:sz w:val="32"/>
          <w:highlight w:val="none"/>
        </w:rPr>
        <w:t>学历</w:t>
      </w:r>
      <w:r>
        <w:rPr>
          <w:rFonts w:hint="eastAsia" w:ascii="仿宋_GB2312" w:eastAsia="仿宋_GB2312"/>
          <w:color w:val="auto"/>
          <w:sz w:val="32"/>
          <w:szCs w:val="32"/>
          <w:highlight w:val="none"/>
        </w:rPr>
        <w:t>学位</w:t>
      </w:r>
      <w:r>
        <w:rPr>
          <w:rFonts w:hint="eastAsia" w:ascii="仿宋_GB2312" w:eastAsia="仿宋_GB2312"/>
          <w:color w:val="auto"/>
          <w:sz w:val="32"/>
          <w:highlight w:val="none"/>
        </w:rPr>
        <w:t>认证材料，在</w:t>
      </w:r>
      <w:r>
        <w:rPr>
          <w:rFonts w:hint="eastAsia" w:ascii="仿宋_GB2312" w:eastAsia="仿宋_GB2312"/>
          <w:color w:val="auto"/>
          <w:sz w:val="32"/>
          <w:szCs w:val="32"/>
          <w:highlight w:val="none"/>
        </w:rPr>
        <w:t>面试前与其他材料一并交招聘单位审核。</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4.“应届毕业生”如何界定？</w:t>
      </w:r>
    </w:p>
    <w:p>
      <w:pPr>
        <w:keepNext w:val="0"/>
        <w:keepLines w:val="0"/>
        <w:pageBreakBefore w:val="0"/>
        <w:kinsoku/>
        <w:wordWrap/>
        <w:overflowPunct/>
        <w:topLinePunct w:val="0"/>
        <w:bidi w:val="0"/>
        <w:snapToGrid w:val="0"/>
        <w:spacing w:line="600" w:lineRule="exact"/>
        <w:ind w:firstLine="627" w:firstLineChars="196"/>
        <w:rPr>
          <w:rFonts w:ascii="仿宋_GB2312" w:eastAsia="仿宋_GB2312"/>
          <w:color w:val="auto"/>
          <w:sz w:val="32"/>
          <w:szCs w:val="32"/>
          <w:highlight w:val="none"/>
        </w:rPr>
      </w:pPr>
      <w:r>
        <w:rPr>
          <w:rFonts w:hint="eastAsia" w:ascii="仿宋_GB2312" w:eastAsia="仿宋_GB2312"/>
          <w:color w:val="auto"/>
          <w:sz w:val="32"/>
          <w:szCs w:val="32"/>
          <w:highlight w:val="none"/>
        </w:rPr>
        <w:t>《简章》及本须知中提到的“应届毕业生”，系指纳入全国统一招生、国内全日制普通高等院校（含科研院所）2019年应届毕业的学生。</w:t>
      </w:r>
    </w:p>
    <w:p>
      <w:pPr>
        <w:keepNext w:val="0"/>
        <w:keepLines w:val="0"/>
        <w:pageBreakBefore w:val="0"/>
        <w:kinsoku/>
        <w:wordWrap/>
        <w:overflowPunct/>
        <w:topLinePunct w:val="0"/>
        <w:bidi w:val="0"/>
        <w:snapToGrid w:val="0"/>
        <w:spacing w:line="600" w:lineRule="exact"/>
        <w:ind w:firstLine="643" w:firstLineChars="200"/>
        <w:rPr>
          <w:rFonts w:ascii="楷体_GB2312" w:eastAsia="楷体_GB2312"/>
          <w:b/>
          <w:color w:val="auto"/>
          <w:sz w:val="32"/>
          <w:highlight w:val="none"/>
        </w:rPr>
      </w:pPr>
      <w:r>
        <w:rPr>
          <w:rFonts w:hint="eastAsia" w:ascii="楷体_GB2312" w:eastAsia="楷体_GB2312"/>
          <w:b/>
          <w:color w:val="auto"/>
          <w:sz w:val="32"/>
          <w:highlight w:val="none"/>
        </w:rPr>
        <w:t>5.对学历、学位证书取得时间有什么要求？</w:t>
      </w:r>
    </w:p>
    <w:p>
      <w:pPr>
        <w:keepNext w:val="0"/>
        <w:keepLines w:val="0"/>
        <w:pageBreakBefore w:val="0"/>
        <w:kinsoku/>
        <w:wordWrap/>
        <w:overflowPunct/>
        <w:topLinePunct w:val="0"/>
        <w:bidi w:val="0"/>
        <w:snapToGrid w:val="0"/>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国家承认的学历、学位证书须在2019年6月26日前取得</w:t>
      </w:r>
      <w:r>
        <w:rPr>
          <w:rFonts w:hint="eastAsia" w:ascii="仿宋_GB2312" w:hAnsi="仿宋_GB2312" w:eastAsia="仿宋_GB2312" w:cs="仿宋_GB2312"/>
          <w:color w:val="auto"/>
          <w:sz w:val="32"/>
          <w:szCs w:val="32"/>
          <w:highlight w:val="none"/>
        </w:rPr>
        <w:t>(2019年应届毕业生</w:t>
      </w:r>
      <w:r>
        <w:rPr>
          <w:rFonts w:hint="eastAsia" w:ascii="仿宋_GB2312" w:hAnsi="仿宋_GB2312" w:eastAsia="仿宋_GB2312" w:cs="仿宋_GB2312"/>
          <w:color w:val="auto"/>
          <w:sz w:val="32"/>
          <w:szCs w:val="32"/>
          <w:highlight w:val="none"/>
          <w:lang w:eastAsia="zh-CN"/>
        </w:rPr>
        <w:t>除外，但在资格审查时须提交学历、学位证书原件，</w:t>
      </w:r>
      <w:r>
        <w:rPr>
          <w:rFonts w:hint="eastAsia" w:ascii="仿宋_GB2312" w:eastAsia="仿宋_GB2312"/>
          <w:color w:val="auto"/>
          <w:sz w:val="32"/>
          <w:szCs w:val="32"/>
          <w:highlight w:val="none"/>
        </w:rPr>
        <w:t>岗位不要求学位证书</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除外</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6.学历学位高于岗位要求的人员能否应聘？</w:t>
      </w:r>
    </w:p>
    <w:p>
      <w:pPr>
        <w:keepNext w:val="0"/>
        <w:keepLines w:val="0"/>
        <w:pageBreakBefore w:val="0"/>
        <w:kinsoku/>
        <w:wordWrap/>
        <w:overflowPunct/>
        <w:topLinePunct w:val="0"/>
        <w:bidi w:val="0"/>
        <w:snapToGrid w:val="0"/>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学历学位高于岗位要求，专业条件符合岗位规定的可以应聘。</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7.如何界定应聘人员是否符合所报岗位专业要求？</w:t>
      </w:r>
    </w:p>
    <w:p>
      <w:pPr>
        <w:keepNext w:val="0"/>
        <w:keepLines w:val="0"/>
        <w:pageBreakBefore w:val="0"/>
        <w:kinsoku/>
        <w:wordWrap/>
        <w:overflowPunct/>
        <w:topLinePunct w:val="0"/>
        <w:bidi w:val="0"/>
        <w:snapToGrid w:val="0"/>
        <w:spacing w:line="600" w:lineRule="exact"/>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以应聘人员毕业证书上注明的专业为准。</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8.进入面试的应聘人员需向招聘单位提交哪些证明材料？</w:t>
      </w:r>
    </w:p>
    <w:p>
      <w:pPr>
        <w:pStyle w:val="9"/>
        <w:keepNext w:val="0"/>
        <w:keepLines w:val="0"/>
        <w:pageBreakBefore w:val="0"/>
        <w:kinsoku/>
        <w:wordWrap/>
        <w:overflowPunct/>
        <w:topLinePunct w:val="0"/>
        <w:bidi w:val="0"/>
        <w:spacing w:line="600" w:lineRule="exact"/>
        <w:ind w:firstLine="624"/>
        <w:rPr>
          <w:rFonts w:ascii="仿宋_GB2312" w:eastAsia="仿宋_GB2312"/>
          <w:color w:val="auto"/>
          <w:sz w:val="32"/>
          <w:szCs w:val="32"/>
          <w:highlight w:val="none"/>
        </w:rPr>
      </w:pPr>
      <w:r>
        <w:rPr>
          <w:rFonts w:hint="eastAsia" w:ascii="仿宋_GB2312" w:eastAsia="仿宋_GB2312"/>
          <w:color w:val="auto"/>
          <w:sz w:val="32"/>
          <w:szCs w:val="32"/>
          <w:highlight w:val="none"/>
        </w:rPr>
        <w:t>进入面试的应聘人员，需在资格审查通知规定的时间，按招聘岗位要求，向招聘单位提交相关证明材料（原件及复印件，复印件由审核单位留存）。相关证明材料主要包括：</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《2019年泰安市泰山区公开招聘基层卫生专业技术人员报名登记表》、《笔试准考证》、《应聘诚信承诺书》、学历学位证书（岗位不要求学位证书</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除外）、</w:t>
      </w:r>
      <w:r>
        <w:rPr>
          <w:rFonts w:hint="eastAsia" w:ascii="仿宋_GB2312" w:hAnsi="仿宋_GB2312" w:eastAsia="仿宋_GB2312" w:cs="仿宋_GB2312"/>
          <w:color w:val="auto"/>
          <w:sz w:val="32"/>
          <w:szCs w:val="32"/>
          <w:highlight w:val="none"/>
          <w:u w:val="none"/>
        </w:rPr>
        <w:t>有关执业</w:t>
      </w:r>
      <w:r>
        <w:rPr>
          <w:rFonts w:hint="eastAsia" w:ascii="仿宋_GB2312" w:hAnsi="仿宋_GB2312" w:eastAsia="仿宋_GB2312" w:cs="仿宋_GB2312"/>
          <w:color w:val="auto"/>
          <w:sz w:val="32"/>
          <w:szCs w:val="32"/>
          <w:highlight w:val="none"/>
          <w:u w:val="none"/>
          <w:lang w:eastAsia="zh-CN"/>
        </w:rPr>
        <w:t>资格</w:t>
      </w:r>
      <w:r>
        <w:rPr>
          <w:rFonts w:hint="eastAsia" w:ascii="仿宋_GB2312" w:hAnsi="仿宋_GB2312" w:eastAsia="仿宋_GB2312" w:cs="仿宋_GB2312"/>
          <w:color w:val="auto"/>
          <w:sz w:val="32"/>
          <w:szCs w:val="32"/>
          <w:highlight w:val="none"/>
          <w:u w:val="none"/>
        </w:rPr>
        <w:t>证书</w:t>
      </w:r>
      <w:r>
        <w:rPr>
          <w:rFonts w:hint="eastAsia" w:ascii="仿宋_GB2312" w:hAnsi="仿宋_GB2312" w:eastAsia="仿宋_GB2312" w:cs="仿宋_GB2312"/>
          <w:color w:val="auto"/>
          <w:sz w:val="32"/>
          <w:szCs w:val="32"/>
          <w:highlight w:val="none"/>
        </w:rPr>
        <w:t>、身份证原件及复印件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机关、事业单位在职人员应聘的，需提交用人单位和主管部门出具的同意应聘介绍信（于2019年6月26日前出具）；2019年应届毕业生已经与用人单位签订就业协议的，须由用人单位出具同意报考的介绍信；留学回国人员应聘的，还需出具国家教育部门的学历学位认证材料；招聘岗位有其他特殊要求的，应提供相应的证明材料。</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ascii="楷体_GB2312" w:eastAsia="楷体_GB2312"/>
          <w:b/>
          <w:color w:val="auto"/>
          <w:sz w:val="32"/>
          <w:highlight w:val="none"/>
        </w:rPr>
        <w:t>9</w:t>
      </w:r>
      <w:r>
        <w:rPr>
          <w:rFonts w:hint="eastAsia" w:ascii="楷体_GB2312" w:eastAsia="楷体_GB2312"/>
          <w:b/>
          <w:color w:val="auto"/>
          <w:sz w:val="32"/>
          <w:highlight w:val="none"/>
        </w:rPr>
        <w:t xml:space="preserve">.如何缴费？ </w:t>
      </w:r>
    </w:p>
    <w:p>
      <w:pPr>
        <w:keepNext w:val="0"/>
        <w:keepLines w:val="0"/>
        <w:pageBreakBefore w:val="0"/>
        <w:widowControl/>
        <w:kinsoku/>
        <w:wordWrap/>
        <w:overflowPunct/>
        <w:topLinePunct w:val="0"/>
        <w:bidi w:val="0"/>
        <w:spacing w:line="600" w:lineRule="exact"/>
        <w:ind w:firstLine="630"/>
        <w:rPr>
          <w:rFonts w:hint="eastAsia" w:ascii="仿宋_GB2312" w:hAnsi="Courier New" w:eastAsia="仿宋_GB2312"/>
          <w:color w:val="auto"/>
          <w:sz w:val="32"/>
          <w:szCs w:val="32"/>
          <w:highlight w:val="none"/>
        </w:rPr>
      </w:pPr>
      <w:r>
        <w:rPr>
          <w:rFonts w:hint="eastAsia" w:ascii="仿宋_GB2312" w:hAnsi="Courier New" w:eastAsia="仿宋_GB2312"/>
          <w:color w:val="auto"/>
          <w:sz w:val="32"/>
          <w:szCs w:val="32"/>
          <w:highlight w:val="none"/>
        </w:rPr>
        <w:t>应聘人员在资格初审通过后，通过网络进行缴费。缴费时间为：</w:t>
      </w:r>
      <w:r>
        <w:rPr>
          <w:rFonts w:hint="eastAsia" w:ascii="仿宋_GB2312" w:hAnsi="宋体" w:eastAsia="仿宋_GB2312" w:cs="宋体"/>
          <w:color w:val="auto"/>
          <w:kern w:val="0"/>
          <w:sz w:val="32"/>
          <w:szCs w:val="32"/>
          <w:highlight w:val="none"/>
        </w:rPr>
        <w:t>2019年</w:t>
      </w:r>
      <w:r>
        <w:rPr>
          <w:rFonts w:hint="eastAsia" w:ascii="仿宋_GB2312" w:eastAsia="仿宋_GB2312"/>
          <w:color w:val="auto"/>
          <w:sz w:val="32"/>
          <w:szCs w:val="32"/>
          <w:highlight w:val="none"/>
        </w:rPr>
        <w:t>6</w:t>
      </w:r>
      <w:r>
        <w:rPr>
          <w:rFonts w:ascii="仿宋_GB2312" w:eastAsia="仿宋_GB2312"/>
          <w:color w:val="auto"/>
          <w:sz w:val="32"/>
          <w:szCs w:val="32"/>
          <w:highlight w:val="none"/>
        </w:rPr>
        <w:t>月</w:t>
      </w:r>
      <w:r>
        <w:rPr>
          <w:rFonts w:hint="eastAsia" w:ascii="仿宋_GB2312" w:eastAsia="仿宋_GB2312"/>
          <w:color w:val="auto"/>
          <w:sz w:val="32"/>
          <w:szCs w:val="32"/>
          <w:highlight w:val="none"/>
        </w:rPr>
        <w:t>26</w:t>
      </w:r>
      <w:r>
        <w:rPr>
          <w:rFonts w:ascii="仿宋_GB2312" w:eastAsia="仿宋_GB2312"/>
          <w:color w:val="auto"/>
          <w:sz w:val="32"/>
          <w:szCs w:val="32"/>
          <w:highlight w:val="none"/>
        </w:rPr>
        <w:t>日</w:t>
      </w:r>
      <w:r>
        <w:rPr>
          <w:rFonts w:hint="eastAsia" w:ascii="仿宋_GB2312" w:eastAsia="仿宋_GB2312"/>
          <w:color w:val="auto"/>
          <w:sz w:val="32"/>
          <w:szCs w:val="32"/>
          <w:highlight w:val="none"/>
        </w:rPr>
        <w:t>11:00—7月1日17:00</w:t>
      </w:r>
      <w:r>
        <w:rPr>
          <w:rFonts w:hint="eastAsia" w:ascii="仿宋_GB2312" w:hAnsi="宋体" w:eastAsia="仿宋_GB2312" w:cs="宋体"/>
          <w:color w:val="auto"/>
          <w:kern w:val="0"/>
          <w:sz w:val="32"/>
          <w:szCs w:val="32"/>
          <w:highlight w:val="none"/>
        </w:rPr>
        <w:t>。</w:t>
      </w:r>
      <w:r>
        <w:rPr>
          <w:rFonts w:hint="eastAsia" w:ascii="仿宋_GB2312" w:hAnsi="Courier New" w:eastAsia="仿宋_GB2312"/>
          <w:color w:val="auto"/>
          <w:sz w:val="32"/>
          <w:szCs w:val="32"/>
          <w:highlight w:val="none"/>
        </w:rPr>
        <w:t>此次招聘笔试考务费不实行现场缴费，请应聘人员务必使用网络缴费形式进行缴费。逾期未缴费的，视为自动放弃。请应聘人员注意：一旦缴费成功，概不退费。</w:t>
      </w:r>
    </w:p>
    <w:p>
      <w:pPr>
        <w:keepNext w:val="0"/>
        <w:keepLines w:val="0"/>
        <w:pageBreakBefore w:val="0"/>
        <w:widowControl/>
        <w:kinsoku/>
        <w:wordWrap/>
        <w:overflowPunct/>
        <w:topLinePunct w:val="0"/>
        <w:bidi w:val="0"/>
        <w:spacing w:line="600" w:lineRule="exact"/>
        <w:ind w:firstLine="630"/>
        <w:rPr>
          <w:rFonts w:hint="eastAsia" w:ascii="仿宋_GB2312" w:hAnsi="Courier New" w:eastAsia="仿宋_GB2312"/>
          <w:color w:val="auto"/>
          <w:sz w:val="32"/>
          <w:szCs w:val="32"/>
          <w:highlight w:val="none"/>
        </w:rPr>
      </w:pPr>
      <w:r>
        <w:rPr>
          <w:rFonts w:hint="eastAsia" w:ascii="仿宋_GB2312" w:hAnsi="Courier New" w:eastAsia="仿宋_GB2312"/>
          <w:color w:val="auto"/>
          <w:sz w:val="32"/>
          <w:szCs w:val="32"/>
          <w:highlight w:val="none"/>
        </w:rPr>
        <w:t>拟享受减免考务费的应聘人员，不实行网上缴费。在招聘单位初审通过后，于2019年7月1日（8:30—11:30、14:00—17:00）持本人身份证及有关证明材料到泰山区卫生健康局公开招聘基层</w:t>
      </w:r>
      <w:r>
        <w:rPr>
          <w:rFonts w:hint="eastAsia" w:ascii="仿宋_GB2312" w:hAnsi="Courier New" w:eastAsia="仿宋_GB2312"/>
          <w:color w:val="auto"/>
          <w:sz w:val="32"/>
          <w:szCs w:val="32"/>
          <w:highlight w:val="none"/>
          <w:lang w:eastAsia="zh-CN"/>
        </w:rPr>
        <w:t>卫生</w:t>
      </w:r>
      <w:r>
        <w:rPr>
          <w:rFonts w:hint="eastAsia" w:ascii="仿宋_GB2312" w:hAnsi="Courier New" w:eastAsia="仿宋_GB2312"/>
          <w:color w:val="auto"/>
          <w:sz w:val="32"/>
          <w:szCs w:val="32"/>
          <w:highlight w:val="none"/>
        </w:rPr>
        <w:t>专业技术人员办公室（泰山区区委区政府大院西楼</w:t>
      </w:r>
      <w:r>
        <w:rPr>
          <w:rFonts w:hint="eastAsia" w:ascii="仿宋_GB2312" w:hAnsi="Courier New" w:eastAsia="仿宋_GB2312"/>
          <w:color w:val="auto"/>
          <w:sz w:val="32"/>
          <w:szCs w:val="32"/>
          <w:highlight w:val="none"/>
          <w:lang w:val="en-US" w:eastAsia="zh-CN"/>
        </w:rPr>
        <w:t>3楼</w:t>
      </w:r>
      <w:r>
        <w:rPr>
          <w:rFonts w:hint="eastAsia" w:ascii="仿宋_GB2312" w:hAnsi="Courier New" w:eastAsia="仿宋_GB2312"/>
          <w:color w:val="auto"/>
          <w:sz w:val="32"/>
          <w:szCs w:val="32"/>
          <w:highlight w:val="none"/>
        </w:rPr>
        <w:t>）办理减免手续。超过审核认定时间的不再受理。</w:t>
      </w:r>
    </w:p>
    <w:p>
      <w:pPr>
        <w:keepNext w:val="0"/>
        <w:keepLines w:val="0"/>
        <w:pageBreakBefore w:val="0"/>
        <w:kinsoku/>
        <w:wordWrap/>
        <w:overflowPunct/>
        <w:topLinePunct w:val="0"/>
        <w:bidi w:val="0"/>
        <w:spacing w:line="600" w:lineRule="exact"/>
        <w:ind w:firstLine="640" w:firstLineChars="200"/>
        <w:rPr>
          <w:rFonts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享受国家最低生活保障金的城镇家庭的应聘人员，提交家庭所在地县（市、区）民政部门出具的低保证原件及复印件；农村绝对贫困家庭的应聘人员，提交家庭所在地县（市、区）扶贫办（部门）出具的特困家庭基本情况档案卡原件及复印件，或者出具由省人力资源和社会保障厅、省教育厅核发的《山东省特困家庭高校毕业生就业服务卡》。</w:t>
      </w:r>
    </w:p>
    <w:p>
      <w:pPr>
        <w:pStyle w:val="9"/>
        <w:keepNext w:val="0"/>
        <w:keepLines w:val="0"/>
        <w:pageBreakBefore w:val="0"/>
        <w:kinsoku/>
        <w:wordWrap/>
        <w:overflowPunct/>
        <w:topLinePunct w:val="0"/>
        <w:bidi w:val="0"/>
        <w:spacing w:line="600" w:lineRule="exact"/>
        <w:ind w:firstLine="624"/>
        <w:rPr>
          <w:rFonts w:ascii="楷体_GB2312" w:hAnsi="宋体" w:eastAsia="楷体_GB2312" w:cs="宋体"/>
          <w:b/>
          <w:color w:val="auto"/>
          <w:kern w:val="0"/>
          <w:sz w:val="32"/>
          <w:szCs w:val="32"/>
          <w:highlight w:val="none"/>
        </w:rPr>
      </w:pPr>
      <w:r>
        <w:rPr>
          <w:rFonts w:hint="eastAsia" w:ascii="楷体_GB2312" w:hAnsi="宋体" w:eastAsia="楷体_GB2312" w:cs="宋体"/>
          <w:b/>
          <w:color w:val="auto"/>
          <w:kern w:val="0"/>
          <w:sz w:val="32"/>
          <w:szCs w:val="32"/>
          <w:highlight w:val="none"/>
        </w:rPr>
        <w:t>1</w:t>
      </w:r>
      <w:r>
        <w:rPr>
          <w:rFonts w:ascii="楷体_GB2312" w:hAnsi="宋体" w:eastAsia="楷体_GB2312" w:cs="宋体"/>
          <w:b/>
          <w:color w:val="auto"/>
          <w:kern w:val="0"/>
          <w:sz w:val="32"/>
          <w:szCs w:val="32"/>
          <w:highlight w:val="none"/>
        </w:rPr>
        <w:t>0</w:t>
      </w:r>
      <w:r>
        <w:rPr>
          <w:rFonts w:hint="eastAsia" w:ascii="楷体_GB2312" w:hAnsi="宋体" w:eastAsia="楷体_GB2312" w:cs="宋体"/>
          <w:b/>
          <w:color w:val="auto"/>
          <w:kern w:val="0"/>
          <w:sz w:val="32"/>
          <w:szCs w:val="32"/>
          <w:highlight w:val="none"/>
        </w:rPr>
        <w:t>.何时打印笔试准考证以及报名材料？</w:t>
      </w:r>
    </w:p>
    <w:p>
      <w:pPr>
        <w:pStyle w:val="9"/>
        <w:keepNext w:val="0"/>
        <w:keepLines w:val="0"/>
        <w:pageBreakBefore w:val="0"/>
        <w:kinsoku/>
        <w:wordWrap/>
        <w:overflowPunct/>
        <w:topLinePunct w:val="0"/>
        <w:bidi w:val="0"/>
        <w:spacing w:line="600" w:lineRule="exact"/>
        <w:ind w:firstLine="624"/>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缴费成功人员</w:t>
      </w:r>
      <w:r>
        <w:rPr>
          <w:rFonts w:hint="eastAsia" w:ascii="仿宋_GB2312" w:hAnsi="宋体" w:eastAsia="仿宋_GB2312" w:cs="宋体"/>
          <w:color w:val="000000" w:themeColor="text1"/>
          <w:kern w:val="0"/>
          <w:sz w:val="32"/>
          <w:szCs w:val="32"/>
          <w:highlight w:val="none"/>
        </w:rPr>
        <w:t>（含享受减免考务费的人员）</w:t>
      </w:r>
      <w:r>
        <w:rPr>
          <w:rFonts w:hint="eastAsia" w:ascii="仿宋_GB2312" w:hAnsi="宋体" w:eastAsia="仿宋_GB2312" w:cs="宋体"/>
          <w:color w:val="auto"/>
          <w:kern w:val="0"/>
          <w:sz w:val="32"/>
          <w:szCs w:val="32"/>
          <w:highlight w:val="none"/>
        </w:rPr>
        <w:t>于2019年7月8日</w:t>
      </w:r>
      <w:r>
        <w:rPr>
          <w:rFonts w:hint="eastAsia" w:ascii="仿宋_GB2312" w:hAnsi="宋体" w:eastAsia="仿宋_GB2312" w:cs="宋体"/>
          <w:color w:val="auto"/>
          <w:kern w:val="0"/>
          <w:sz w:val="32"/>
          <w:szCs w:val="32"/>
          <w:highlight w:val="none"/>
          <w:lang w:val="en-US" w:eastAsia="zh-CN"/>
        </w:rPr>
        <w:t>14</w:t>
      </w:r>
      <w:r>
        <w:rPr>
          <w:rFonts w:hint="eastAsia" w:ascii="仿宋_GB2312" w:hAnsi="宋体" w:eastAsia="仿宋_GB2312" w:cs="宋体"/>
          <w:color w:val="auto"/>
          <w:kern w:val="0"/>
          <w:sz w:val="32"/>
          <w:szCs w:val="32"/>
          <w:highlight w:val="none"/>
        </w:rPr>
        <w:t>:00—</w:t>
      </w:r>
      <w:r>
        <w:rPr>
          <w:rFonts w:hint="eastAsia" w:ascii="仿宋_GB2312" w:hAnsi="宋体" w:eastAsia="仿宋_GB2312" w:cs="宋体"/>
          <w:color w:val="auto"/>
          <w:kern w:val="0"/>
          <w:sz w:val="32"/>
          <w:szCs w:val="32"/>
          <w:highlight w:val="none"/>
        </w:rPr>
        <w:t>7月12日9:00登录报名网站打印笔试准考证，以及</w:t>
      </w:r>
      <w:r>
        <w:rPr>
          <w:rFonts w:hint="eastAsia" w:ascii="仿宋_GB2312" w:eastAsia="仿宋_GB2312"/>
          <w:color w:val="auto"/>
          <w:sz w:val="32"/>
          <w:szCs w:val="32"/>
          <w:highlight w:val="none"/>
        </w:rPr>
        <w:t>《2019年泰安市泰山区公开招聘基层卫生专业技术人员报名登记表》</w:t>
      </w:r>
      <w:r>
        <w:rPr>
          <w:rFonts w:hint="eastAsia" w:ascii="仿宋_GB2312" w:hAnsi="宋体" w:eastAsia="仿宋_GB2312" w:cs="宋体"/>
          <w:color w:val="auto"/>
          <w:kern w:val="0"/>
          <w:sz w:val="32"/>
          <w:szCs w:val="32"/>
          <w:highlight w:val="none"/>
        </w:rPr>
        <w:t>和《应聘诚信承诺书》（参加面试时使用）。</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1</w:t>
      </w:r>
      <w:r>
        <w:rPr>
          <w:rFonts w:ascii="楷体_GB2312" w:eastAsia="楷体_GB2312"/>
          <w:b/>
          <w:color w:val="auto"/>
          <w:sz w:val="32"/>
          <w:highlight w:val="none"/>
        </w:rPr>
        <w:t>1</w:t>
      </w:r>
      <w:r>
        <w:rPr>
          <w:rFonts w:hint="eastAsia" w:ascii="楷体_GB2312" w:eastAsia="楷体_GB2312"/>
          <w:b/>
          <w:color w:val="auto"/>
          <w:sz w:val="32"/>
          <w:highlight w:val="none"/>
        </w:rPr>
        <w:t>.对招聘岗位资格条件有疑问如何咨询？</w:t>
      </w:r>
    </w:p>
    <w:p>
      <w:pPr>
        <w:keepNext w:val="0"/>
        <w:keepLines w:val="0"/>
        <w:pageBreakBefore w:val="0"/>
        <w:kinsoku/>
        <w:wordWrap/>
        <w:overflowPunct/>
        <w:topLinePunct w:val="0"/>
        <w:bidi w:val="0"/>
        <w:snapToGrid w:val="0"/>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对招聘岗位资格条件和其他内容有疑问的，请</w:t>
      </w:r>
      <w:r>
        <w:rPr>
          <w:rFonts w:hint="eastAsia" w:ascii="仿宋_GB2312" w:eastAsia="仿宋_GB2312"/>
          <w:color w:val="auto"/>
          <w:sz w:val="32"/>
          <w:szCs w:val="32"/>
          <w:highlight w:val="none"/>
          <w:lang w:eastAsia="zh-CN"/>
        </w:rPr>
        <w:t>在工作时间内拨打咨询电话：0538—8229070、5362289。</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1</w:t>
      </w:r>
      <w:r>
        <w:rPr>
          <w:rFonts w:ascii="楷体_GB2312" w:eastAsia="楷体_GB2312"/>
          <w:b/>
          <w:color w:val="auto"/>
          <w:sz w:val="32"/>
          <w:highlight w:val="none"/>
        </w:rPr>
        <w:t>2</w:t>
      </w:r>
      <w:r>
        <w:rPr>
          <w:rFonts w:hint="eastAsia" w:ascii="楷体_GB2312" w:eastAsia="楷体_GB2312"/>
          <w:b/>
          <w:color w:val="auto"/>
          <w:sz w:val="32"/>
          <w:highlight w:val="none"/>
        </w:rPr>
        <w:t>.填报</w:t>
      </w:r>
      <w:r>
        <w:rPr>
          <w:rFonts w:hint="eastAsia" w:ascii="楷体_GB2312" w:eastAsia="楷体_GB2312"/>
          <w:b/>
          <w:color w:val="auto"/>
          <w:sz w:val="32"/>
          <w:szCs w:val="32"/>
          <w:highlight w:val="none"/>
        </w:rPr>
        <w:t>相关表格、信息时</w:t>
      </w:r>
      <w:r>
        <w:rPr>
          <w:rFonts w:hint="eastAsia" w:ascii="楷体_GB2312" w:eastAsia="楷体_GB2312"/>
          <w:b/>
          <w:color w:val="auto"/>
          <w:sz w:val="32"/>
          <w:highlight w:val="none"/>
        </w:rPr>
        <w:t>需注意什么？</w:t>
      </w:r>
    </w:p>
    <w:p>
      <w:pPr>
        <w:keepNext w:val="0"/>
        <w:keepLines w:val="0"/>
        <w:pageBreakBefore w:val="0"/>
        <w:kinsoku/>
        <w:wordWrap/>
        <w:overflowPunct/>
        <w:topLinePunct w:val="0"/>
        <w:bidi w:val="0"/>
        <w:snapToGrid w:val="0"/>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应聘人员要仔细阅读《简章》及本须知内容，填报的相关表格、信息等必须真实、全面、准确。主要信息填报不实的，按弄虚作假处理；因信息填报不全、错误等导致未通过招聘单位资格审查的，责任由应聘人员自负。招聘期间应聘人员务必保证报名登记联系电话畅通，因通讯不畅造成的后果由应聘人员自负。</w:t>
      </w:r>
    </w:p>
    <w:p>
      <w:pPr>
        <w:keepNext w:val="0"/>
        <w:keepLines w:val="0"/>
        <w:pageBreakBefore w:val="0"/>
        <w:kinsoku/>
        <w:wordWrap/>
        <w:overflowPunct/>
        <w:topLinePunct w:val="0"/>
        <w:bidi w:val="0"/>
        <w:snapToGrid w:val="0"/>
        <w:spacing w:line="600" w:lineRule="exact"/>
        <w:ind w:firstLine="640" w:firstLineChars="200"/>
        <w:rPr>
          <w:rFonts w:ascii="仿宋_GB2312" w:eastAsia="仿宋_GB2312"/>
          <w:color w:val="auto"/>
          <w:sz w:val="32"/>
          <w:szCs w:val="32"/>
          <w:highlight w:val="none"/>
        </w:rPr>
      </w:pPr>
      <w:r>
        <w:rPr>
          <w:rFonts w:hint="eastAsia" w:ascii="仿宋_GB2312" w:hAnsi="宋体" w:eastAsia="仿宋_GB2312" w:cs="宋体"/>
          <w:bCs/>
          <w:color w:val="auto"/>
          <w:kern w:val="0"/>
          <w:sz w:val="32"/>
          <w:szCs w:val="32"/>
          <w:highlight w:val="none"/>
        </w:rPr>
        <w:t>应聘人员所学专业应以毕业证书上注明的专业</w:t>
      </w:r>
      <w:r>
        <w:rPr>
          <w:rFonts w:hint="eastAsia" w:ascii="仿宋_GB2312" w:eastAsia="仿宋_GB2312"/>
          <w:color w:val="auto"/>
          <w:sz w:val="32"/>
          <w:szCs w:val="32"/>
          <w:highlight w:val="none"/>
        </w:rPr>
        <w:t>为准。没有工作单位的填“无”，有工作单位的要写明单位全称。</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1</w:t>
      </w:r>
      <w:r>
        <w:rPr>
          <w:rFonts w:ascii="楷体_GB2312" w:eastAsia="楷体_GB2312"/>
          <w:b/>
          <w:color w:val="auto"/>
          <w:sz w:val="32"/>
          <w:highlight w:val="none"/>
        </w:rPr>
        <w:t>3</w:t>
      </w:r>
      <w:r>
        <w:rPr>
          <w:rFonts w:hint="eastAsia" w:ascii="楷体_GB2312" w:eastAsia="楷体_GB2312"/>
          <w:b/>
          <w:color w:val="auto"/>
          <w:sz w:val="32"/>
          <w:highlight w:val="none"/>
        </w:rPr>
        <w:t>.违纪违规及存在不诚信情形的应聘人员如何处理？</w:t>
      </w:r>
    </w:p>
    <w:p>
      <w:pPr>
        <w:keepNext w:val="0"/>
        <w:keepLines w:val="0"/>
        <w:pageBreakBefore w:val="0"/>
        <w:kinsoku/>
        <w:wordWrap/>
        <w:overflowPunct/>
        <w:topLinePunct w:val="0"/>
        <w:autoSpaceDE w:val="0"/>
        <w:autoSpaceDN w:val="0"/>
        <w:bidi w:val="0"/>
        <w:adjustRightInd w:val="0"/>
        <w:snapToGrid w:val="0"/>
        <w:spacing w:line="600" w:lineRule="exact"/>
        <w:ind w:firstLine="624"/>
        <w:rPr>
          <w:rFonts w:ascii="仿宋_GB2312" w:hAnsi="宋体" w:eastAsia="仿宋_GB2312"/>
          <w:color w:val="auto"/>
          <w:kern w:val="0"/>
          <w:sz w:val="32"/>
          <w:szCs w:val="32"/>
          <w:highlight w:val="none"/>
        </w:rPr>
      </w:pPr>
      <w:r>
        <w:rPr>
          <w:rFonts w:hint="eastAsia" w:ascii="仿宋_GB2312" w:hAnsi="宋体" w:eastAsia="仿宋_GB2312"/>
          <w:color w:val="auto"/>
          <w:kern w:val="0"/>
          <w:sz w:val="32"/>
          <w:highlight w:val="none"/>
        </w:rPr>
        <w:t>应聘人员要严格遵守公开招聘的相关政策规定，遵从事业单位公开招聘主管机关、人事考试机构和招聘单位的统一安排，其</w:t>
      </w:r>
      <w:r>
        <w:rPr>
          <w:rFonts w:hint="eastAsia" w:ascii="仿宋_GB2312" w:hAnsi="宋体" w:eastAsia="仿宋_GB2312" w:cs="宋体"/>
          <w:color w:val="auto"/>
          <w:kern w:val="0"/>
          <w:sz w:val="32"/>
          <w:szCs w:val="32"/>
          <w:highlight w:val="none"/>
        </w:rPr>
        <w:t>在应聘期间的表现，将作为公开招聘考察的重要内容之一</w:t>
      </w:r>
      <w:r>
        <w:rPr>
          <w:rFonts w:hint="eastAsia" w:ascii="仿宋_GB2312" w:hAnsi="宋体" w:eastAsia="仿宋_GB2312" w:cs="宋体"/>
          <w:b w:val="0"/>
          <w:bCs w:val="0"/>
          <w:color w:val="auto"/>
          <w:kern w:val="0"/>
          <w:sz w:val="32"/>
          <w:szCs w:val="32"/>
          <w:highlight w:val="none"/>
        </w:rPr>
        <w:t>。对违纪违规的应聘人员，</w:t>
      </w:r>
      <w:r>
        <w:rPr>
          <w:rFonts w:hint="eastAsia" w:ascii="仿宋_GB2312" w:hAnsi="宋体" w:eastAsia="仿宋_GB2312"/>
          <w:b w:val="0"/>
          <w:bCs w:val="0"/>
          <w:color w:val="auto"/>
          <w:kern w:val="0"/>
          <w:sz w:val="32"/>
          <w:highlight w:val="none"/>
        </w:rPr>
        <w:t>按照《事业单位公开招聘违纪违规行为处理规定》（人力资源和社会保障部令第35号）处理。对招聘工作中违纪违规及存在不诚信情形的应聘人员，</w:t>
      </w:r>
      <w:r>
        <w:rPr>
          <w:rFonts w:hint="eastAsia" w:ascii="仿宋_GB2312" w:eastAsia="仿宋_GB2312"/>
          <w:color w:val="auto"/>
          <w:sz w:val="32"/>
          <w:highlight w:val="none"/>
        </w:rPr>
        <w:t>记入</w:t>
      </w:r>
      <w:r>
        <w:rPr>
          <w:rFonts w:hint="eastAsia" w:ascii="仿宋_GB2312" w:hAnsi="宋体" w:eastAsia="仿宋_GB2312"/>
          <w:b w:val="0"/>
          <w:bCs w:val="0"/>
          <w:color w:val="auto"/>
          <w:kern w:val="0"/>
          <w:sz w:val="32"/>
          <w:highlight w:val="none"/>
        </w:rPr>
        <w:t>事业单位公开招聘违纪违规与诚信档案</w:t>
      </w:r>
      <w:r>
        <w:rPr>
          <w:rFonts w:hint="eastAsia" w:ascii="仿宋_GB2312" w:hAnsi="宋体" w:eastAsia="仿宋_GB2312"/>
          <w:b w:val="0"/>
          <w:bCs w:val="0"/>
          <w:color w:val="auto"/>
          <w:kern w:val="0"/>
          <w:sz w:val="32"/>
          <w:szCs w:val="32"/>
          <w:highlight w:val="none"/>
        </w:rPr>
        <w:t>库。</w:t>
      </w:r>
    </w:p>
    <w:p>
      <w:pPr>
        <w:keepNext w:val="0"/>
        <w:keepLines w:val="0"/>
        <w:pageBreakBefore w:val="0"/>
        <w:kinsoku/>
        <w:wordWrap/>
        <w:overflowPunct/>
        <w:topLinePunct w:val="0"/>
        <w:autoSpaceDE w:val="0"/>
        <w:autoSpaceDN w:val="0"/>
        <w:bidi w:val="0"/>
        <w:adjustRightInd w:val="0"/>
        <w:snapToGrid w:val="0"/>
        <w:spacing w:line="600" w:lineRule="exact"/>
        <w:ind w:firstLine="624"/>
        <w:rPr>
          <w:rFonts w:ascii="楷体_GB2312" w:eastAsia="楷体_GB2312"/>
          <w:b/>
          <w:color w:val="auto"/>
          <w:sz w:val="32"/>
          <w:highlight w:val="none"/>
        </w:rPr>
      </w:pPr>
      <w:r>
        <w:rPr>
          <w:rFonts w:hint="eastAsia" w:ascii="楷体_GB2312" w:eastAsia="楷体_GB2312"/>
          <w:b/>
          <w:color w:val="auto"/>
          <w:sz w:val="32"/>
          <w:highlight w:val="none"/>
        </w:rPr>
        <w:t>1</w:t>
      </w:r>
      <w:r>
        <w:rPr>
          <w:rFonts w:ascii="楷体_GB2312" w:eastAsia="楷体_GB2312"/>
          <w:b/>
          <w:color w:val="auto"/>
          <w:sz w:val="32"/>
          <w:highlight w:val="none"/>
        </w:rPr>
        <w:t>4</w:t>
      </w:r>
      <w:r>
        <w:rPr>
          <w:rFonts w:hint="eastAsia" w:ascii="楷体_GB2312" w:eastAsia="楷体_GB2312"/>
          <w:b/>
          <w:color w:val="auto"/>
          <w:sz w:val="32"/>
          <w:highlight w:val="none"/>
        </w:rPr>
        <w:t>.拟聘用人员名单公示后提出放弃的如何处理？</w:t>
      </w:r>
    </w:p>
    <w:p>
      <w:pPr>
        <w:keepNext w:val="0"/>
        <w:keepLines w:val="0"/>
        <w:pageBreakBefore w:val="0"/>
        <w:kinsoku/>
        <w:wordWrap/>
        <w:overflowPunct/>
        <w:topLinePunct w:val="0"/>
        <w:bidi w:val="0"/>
        <w:snapToGrid w:val="0"/>
        <w:spacing w:line="600" w:lineRule="exact"/>
        <w:ind w:firstLine="627" w:firstLineChars="196"/>
        <w:rPr>
          <w:rFonts w:ascii="仿宋_GB2312" w:eastAsia="仿宋_GB2312"/>
          <w:color w:val="auto"/>
          <w:sz w:val="32"/>
          <w:highlight w:val="none"/>
        </w:rPr>
      </w:pPr>
      <w:r>
        <w:rPr>
          <w:rFonts w:hint="eastAsia" w:ascii="仿宋_GB2312" w:eastAsia="仿宋_GB2312"/>
          <w:color w:val="auto"/>
          <w:sz w:val="32"/>
          <w:highlight w:val="none"/>
        </w:rPr>
        <w:t>对公示后无故放弃聘用资格的应聘人员，由区事业单位公开招聘主管机关记入全区事业单位公开招聘违纪违规与诚信档案库。</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1</w:t>
      </w:r>
      <w:r>
        <w:rPr>
          <w:rFonts w:ascii="楷体_GB2312" w:eastAsia="楷体_GB2312"/>
          <w:b/>
          <w:color w:val="auto"/>
          <w:sz w:val="32"/>
          <w:highlight w:val="none"/>
        </w:rPr>
        <w:t>5</w:t>
      </w:r>
      <w:r>
        <w:rPr>
          <w:rFonts w:hint="eastAsia" w:ascii="楷体_GB2312" w:eastAsia="楷体_GB2312"/>
          <w:b/>
          <w:color w:val="auto"/>
          <w:sz w:val="32"/>
          <w:highlight w:val="none"/>
        </w:rPr>
        <w:t>.是否有指定的考试辅导书和培训班？</w:t>
      </w:r>
    </w:p>
    <w:p>
      <w:pPr>
        <w:keepNext w:val="0"/>
        <w:keepLines w:val="0"/>
        <w:pageBreakBefore w:val="0"/>
        <w:kinsoku/>
        <w:wordWrap/>
        <w:overflowPunct/>
        <w:topLinePunct w:val="0"/>
        <w:bidi w:val="0"/>
        <w:snapToGrid w:val="0"/>
        <w:spacing w:line="600" w:lineRule="exact"/>
        <w:ind w:firstLine="640" w:firstLineChars="200"/>
        <w:rPr>
          <w:rFonts w:ascii="仿宋_GB2312" w:eastAsia="仿宋_GB2312"/>
          <w:color w:val="auto"/>
          <w:sz w:val="32"/>
          <w:szCs w:val="32"/>
          <w:highlight w:val="none"/>
        </w:rPr>
      </w:pPr>
      <w:r>
        <w:rPr>
          <w:rFonts w:hint="eastAsia" w:ascii="仿宋_GB2312" w:hAnsi="Courier New" w:eastAsia="仿宋_GB2312"/>
          <w:color w:val="auto"/>
          <w:sz w:val="32"/>
          <w:highlight w:val="none"/>
        </w:rPr>
        <w:t>本次公开招聘考试</w:t>
      </w:r>
      <w:r>
        <w:rPr>
          <w:rFonts w:hint="eastAsia" w:ascii="仿宋_GB2312" w:hAnsi="宋体" w:eastAsia="仿宋_GB2312" w:cs="宋体"/>
          <w:color w:val="auto"/>
          <w:kern w:val="0"/>
          <w:sz w:val="32"/>
          <w:szCs w:val="32"/>
          <w:highlight w:val="none"/>
        </w:rPr>
        <w:t>不指定考试教材和辅导用书，不举办也不授权或委托任何机构举办辅导培训班。</w:t>
      </w:r>
    </w:p>
    <w:p>
      <w:pPr>
        <w:keepNext w:val="0"/>
        <w:keepLines w:val="0"/>
        <w:pageBreakBefore w:val="0"/>
        <w:kinsoku/>
        <w:wordWrap/>
        <w:overflowPunct/>
        <w:topLinePunct w:val="0"/>
        <w:bidi w:val="0"/>
        <w:spacing w:line="600" w:lineRule="exact"/>
        <w:rPr>
          <w:color w:val="auto"/>
          <w:highlight w:val="none"/>
        </w:rPr>
      </w:pPr>
    </w:p>
    <w:bookmarkEnd w:id="0"/>
    <w:sectPr>
      <w:footerReference r:id="rId3" w:type="default"/>
      <w:footerReference r:id="rId4" w:type="even"/>
      <w:pgSz w:w="11906" w:h="16838"/>
      <w:pgMar w:top="1440" w:right="1752" w:bottom="1440" w:left="1752"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0DCA"/>
    <w:rsid w:val="0000024B"/>
    <w:rsid w:val="00017AEB"/>
    <w:rsid w:val="00022DF2"/>
    <w:rsid w:val="000254D7"/>
    <w:rsid w:val="000518A6"/>
    <w:rsid w:val="00055433"/>
    <w:rsid w:val="00082FF9"/>
    <w:rsid w:val="00083FB8"/>
    <w:rsid w:val="000A06FA"/>
    <w:rsid w:val="000C19DF"/>
    <w:rsid w:val="000C762E"/>
    <w:rsid w:val="000D6C37"/>
    <w:rsid w:val="000F7EC0"/>
    <w:rsid w:val="001069D1"/>
    <w:rsid w:val="0011229E"/>
    <w:rsid w:val="00112D49"/>
    <w:rsid w:val="00121089"/>
    <w:rsid w:val="001301ED"/>
    <w:rsid w:val="001813B5"/>
    <w:rsid w:val="00193AF3"/>
    <w:rsid w:val="001A1A3A"/>
    <w:rsid w:val="001E2155"/>
    <w:rsid w:val="001E72E7"/>
    <w:rsid w:val="00207AFD"/>
    <w:rsid w:val="00217674"/>
    <w:rsid w:val="00224B33"/>
    <w:rsid w:val="0024613D"/>
    <w:rsid w:val="00254BBB"/>
    <w:rsid w:val="002604D0"/>
    <w:rsid w:val="00260F45"/>
    <w:rsid w:val="00276DC5"/>
    <w:rsid w:val="002C13EF"/>
    <w:rsid w:val="002C52FB"/>
    <w:rsid w:val="002C5AE4"/>
    <w:rsid w:val="002E54EA"/>
    <w:rsid w:val="002F2587"/>
    <w:rsid w:val="0030076E"/>
    <w:rsid w:val="003455D3"/>
    <w:rsid w:val="00350C5B"/>
    <w:rsid w:val="0036701E"/>
    <w:rsid w:val="00384F08"/>
    <w:rsid w:val="003A2746"/>
    <w:rsid w:val="003C53F5"/>
    <w:rsid w:val="003D2009"/>
    <w:rsid w:val="003F6DFE"/>
    <w:rsid w:val="004102A9"/>
    <w:rsid w:val="00426618"/>
    <w:rsid w:val="00441AA9"/>
    <w:rsid w:val="00447924"/>
    <w:rsid w:val="004649EF"/>
    <w:rsid w:val="0047347E"/>
    <w:rsid w:val="00473710"/>
    <w:rsid w:val="004773DE"/>
    <w:rsid w:val="0049061C"/>
    <w:rsid w:val="004932ED"/>
    <w:rsid w:val="00495C3A"/>
    <w:rsid w:val="004969AC"/>
    <w:rsid w:val="004A2CE2"/>
    <w:rsid w:val="004B68B4"/>
    <w:rsid w:val="004B7E53"/>
    <w:rsid w:val="004D42B4"/>
    <w:rsid w:val="004E7FE7"/>
    <w:rsid w:val="00523D83"/>
    <w:rsid w:val="005316F7"/>
    <w:rsid w:val="005321BA"/>
    <w:rsid w:val="005408DF"/>
    <w:rsid w:val="00560134"/>
    <w:rsid w:val="00561614"/>
    <w:rsid w:val="005816A8"/>
    <w:rsid w:val="005B14AD"/>
    <w:rsid w:val="005E2BC2"/>
    <w:rsid w:val="005E65E2"/>
    <w:rsid w:val="005F5CED"/>
    <w:rsid w:val="00600894"/>
    <w:rsid w:val="00606016"/>
    <w:rsid w:val="00620166"/>
    <w:rsid w:val="00622E76"/>
    <w:rsid w:val="00622F6C"/>
    <w:rsid w:val="00630118"/>
    <w:rsid w:val="00636280"/>
    <w:rsid w:val="00640C24"/>
    <w:rsid w:val="006541AF"/>
    <w:rsid w:val="00655546"/>
    <w:rsid w:val="0065646F"/>
    <w:rsid w:val="00657B4C"/>
    <w:rsid w:val="00684D3D"/>
    <w:rsid w:val="006C50B5"/>
    <w:rsid w:val="006D4A57"/>
    <w:rsid w:val="006D55FD"/>
    <w:rsid w:val="006E108B"/>
    <w:rsid w:val="006E45E8"/>
    <w:rsid w:val="006F7CDF"/>
    <w:rsid w:val="00702ACE"/>
    <w:rsid w:val="00710F15"/>
    <w:rsid w:val="00711D8F"/>
    <w:rsid w:val="00713F5D"/>
    <w:rsid w:val="00743C58"/>
    <w:rsid w:val="00745586"/>
    <w:rsid w:val="00753E18"/>
    <w:rsid w:val="00767506"/>
    <w:rsid w:val="00773F75"/>
    <w:rsid w:val="007926D3"/>
    <w:rsid w:val="007D525C"/>
    <w:rsid w:val="007E0F50"/>
    <w:rsid w:val="00802788"/>
    <w:rsid w:val="00803395"/>
    <w:rsid w:val="008103E0"/>
    <w:rsid w:val="00810610"/>
    <w:rsid w:val="00815711"/>
    <w:rsid w:val="008179F7"/>
    <w:rsid w:val="00824964"/>
    <w:rsid w:val="00825649"/>
    <w:rsid w:val="00826D42"/>
    <w:rsid w:val="0083154A"/>
    <w:rsid w:val="008341BF"/>
    <w:rsid w:val="0083762E"/>
    <w:rsid w:val="0084599D"/>
    <w:rsid w:val="00845FCE"/>
    <w:rsid w:val="008534F9"/>
    <w:rsid w:val="0086498F"/>
    <w:rsid w:val="00871545"/>
    <w:rsid w:val="00872019"/>
    <w:rsid w:val="0088579A"/>
    <w:rsid w:val="008914C0"/>
    <w:rsid w:val="00892E75"/>
    <w:rsid w:val="00895E78"/>
    <w:rsid w:val="008A038F"/>
    <w:rsid w:val="008B62DC"/>
    <w:rsid w:val="008F7F3F"/>
    <w:rsid w:val="00900CEA"/>
    <w:rsid w:val="00903E12"/>
    <w:rsid w:val="00912602"/>
    <w:rsid w:val="00915587"/>
    <w:rsid w:val="0091575A"/>
    <w:rsid w:val="00923F37"/>
    <w:rsid w:val="00926CDA"/>
    <w:rsid w:val="009331E7"/>
    <w:rsid w:val="00942839"/>
    <w:rsid w:val="00943E4A"/>
    <w:rsid w:val="00944229"/>
    <w:rsid w:val="00946C2E"/>
    <w:rsid w:val="00950DCA"/>
    <w:rsid w:val="00957F75"/>
    <w:rsid w:val="009706B1"/>
    <w:rsid w:val="009922D3"/>
    <w:rsid w:val="009928BE"/>
    <w:rsid w:val="009C2439"/>
    <w:rsid w:val="009D39B5"/>
    <w:rsid w:val="009D452A"/>
    <w:rsid w:val="009D7C3D"/>
    <w:rsid w:val="009E1DB9"/>
    <w:rsid w:val="00A13D05"/>
    <w:rsid w:val="00A33C7F"/>
    <w:rsid w:val="00A4423F"/>
    <w:rsid w:val="00A477BA"/>
    <w:rsid w:val="00A62AAC"/>
    <w:rsid w:val="00A75CB3"/>
    <w:rsid w:val="00A873BA"/>
    <w:rsid w:val="00A87A07"/>
    <w:rsid w:val="00A928A6"/>
    <w:rsid w:val="00A94F36"/>
    <w:rsid w:val="00AB41C9"/>
    <w:rsid w:val="00AD3C01"/>
    <w:rsid w:val="00AF3217"/>
    <w:rsid w:val="00B12F77"/>
    <w:rsid w:val="00B14CA7"/>
    <w:rsid w:val="00B35435"/>
    <w:rsid w:val="00B454D6"/>
    <w:rsid w:val="00B659FA"/>
    <w:rsid w:val="00B6649D"/>
    <w:rsid w:val="00B86329"/>
    <w:rsid w:val="00B87F67"/>
    <w:rsid w:val="00B96C63"/>
    <w:rsid w:val="00BB09FA"/>
    <w:rsid w:val="00BB1D32"/>
    <w:rsid w:val="00BD72C0"/>
    <w:rsid w:val="00C165AA"/>
    <w:rsid w:val="00C230AA"/>
    <w:rsid w:val="00C27813"/>
    <w:rsid w:val="00C45F91"/>
    <w:rsid w:val="00C46079"/>
    <w:rsid w:val="00C461BF"/>
    <w:rsid w:val="00C470A5"/>
    <w:rsid w:val="00C51E34"/>
    <w:rsid w:val="00C65862"/>
    <w:rsid w:val="00C90B84"/>
    <w:rsid w:val="00C92C8E"/>
    <w:rsid w:val="00CA5EC7"/>
    <w:rsid w:val="00CB225F"/>
    <w:rsid w:val="00CC1C8F"/>
    <w:rsid w:val="00CC3441"/>
    <w:rsid w:val="00CE197C"/>
    <w:rsid w:val="00CF035B"/>
    <w:rsid w:val="00CF2D39"/>
    <w:rsid w:val="00D01DBE"/>
    <w:rsid w:val="00D0245A"/>
    <w:rsid w:val="00D056C7"/>
    <w:rsid w:val="00D07A3A"/>
    <w:rsid w:val="00D24626"/>
    <w:rsid w:val="00D24B9A"/>
    <w:rsid w:val="00D305D2"/>
    <w:rsid w:val="00D417BA"/>
    <w:rsid w:val="00D41C13"/>
    <w:rsid w:val="00D47381"/>
    <w:rsid w:val="00D55E16"/>
    <w:rsid w:val="00D57F8E"/>
    <w:rsid w:val="00D60C1D"/>
    <w:rsid w:val="00D61623"/>
    <w:rsid w:val="00D91E65"/>
    <w:rsid w:val="00D9477F"/>
    <w:rsid w:val="00D972A3"/>
    <w:rsid w:val="00DB553C"/>
    <w:rsid w:val="00DC0B5C"/>
    <w:rsid w:val="00DC735B"/>
    <w:rsid w:val="00DE4E46"/>
    <w:rsid w:val="00DE7632"/>
    <w:rsid w:val="00DF05B2"/>
    <w:rsid w:val="00DF19BA"/>
    <w:rsid w:val="00E12B33"/>
    <w:rsid w:val="00E2021A"/>
    <w:rsid w:val="00E25EF0"/>
    <w:rsid w:val="00E65253"/>
    <w:rsid w:val="00E756CE"/>
    <w:rsid w:val="00E81B53"/>
    <w:rsid w:val="00E93FC1"/>
    <w:rsid w:val="00EC2AE8"/>
    <w:rsid w:val="00EC55E9"/>
    <w:rsid w:val="00EC5AB0"/>
    <w:rsid w:val="00ED0CD6"/>
    <w:rsid w:val="00EF3D54"/>
    <w:rsid w:val="00EF7A03"/>
    <w:rsid w:val="00F04F72"/>
    <w:rsid w:val="00F1624F"/>
    <w:rsid w:val="00F16428"/>
    <w:rsid w:val="00F241FC"/>
    <w:rsid w:val="00F3771A"/>
    <w:rsid w:val="00F5334A"/>
    <w:rsid w:val="00F61FBA"/>
    <w:rsid w:val="00F70349"/>
    <w:rsid w:val="00F73415"/>
    <w:rsid w:val="00F80C57"/>
    <w:rsid w:val="00F905E6"/>
    <w:rsid w:val="00F96C87"/>
    <w:rsid w:val="00FA4BE2"/>
    <w:rsid w:val="00FB1812"/>
    <w:rsid w:val="00FB5865"/>
    <w:rsid w:val="00FE3096"/>
    <w:rsid w:val="01E03ED6"/>
    <w:rsid w:val="039F1222"/>
    <w:rsid w:val="048806AB"/>
    <w:rsid w:val="055E6766"/>
    <w:rsid w:val="064E7498"/>
    <w:rsid w:val="07A003E3"/>
    <w:rsid w:val="07E229AB"/>
    <w:rsid w:val="0B426D6E"/>
    <w:rsid w:val="0B7E6EBD"/>
    <w:rsid w:val="0D2A0437"/>
    <w:rsid w:val="0E6921F8"/>
    <w:rsid w:val="0FD4594F"/>
    <w:rsid w:val="105E29D6"/>
    <w:rsid w:val="11664525"/>
    <w:rsid w:val="118A2B5A"/>
    <w:rsid w:val="19F11E6F"/>
    <w:rsid w:val="1AAD2FE7"/>
    <w:rsid w:val="1BA96DAB"/>
    <w:rsid w:val="1CF93805"/>
    <w:rsid w:val="1D5F3366"/>
    <w:rsid w:val="20E82CFC"/>
    <w:rsid w:val="21D2607B"/>
    <w:rsid w:val="22CF215D"/>
    <w:rsid w:val="24520D28"/>
    <w:rsid w:val="24941E72"/>
    <w:rsid w:val="24EA7F6B"/>
    <w:rsid w:val="255534C3"/>
    <w:rsid w:val="26360DF3"/>
    <w:rsid w:val="274A1E70"/>
    <w:rsid w:val="27C67CAE"/>
    <w:rsid w:val="28C321D2"/>
    <w:rsid w:val="2B13705F"/>
    <w:rsid w:val="2D0A5673"/>
    <w:rsid w:val="2D5B5E63"/>
    <w:rsid w:val="2EB06CCC"/>
    <w:rsid w:val="2FB95232"/>
    <w:rsid w:val="2FC92785"/>
    <w:rsid w:val="301D5C21"/>
    <w:rsid w:val="307B2AA1"/>
    <w:rsid w:val="326E7682"/>
    <w:rsid w:val="32AE5034"/>
    <w:rsid w:val="337D2D4D"/>
    <w:rsid w:val="341D347A"/>
    <w:rsid w:val="34D129BC"/>
    <w:rsid w:val="35660FC5"/>
    <w:rsid w:val="359079B7"/>
    <w:rsid w:val="36715C68"/>
    <w:rsid w:val="3976702A"/>
    <w:rsid w:val="3A45099C"/>
    <w:rsid w:val="3A8A0D1F"/>
    <w:rsid w:val="3E576A03"/>
    <w:rsid w:val="3EFF2C5A"/>
    <w:rsid w:val="3F7C5E96"/>
    <w:rsid w:val="3F914DF9"/>
    <w:rsid w:val="401A097A"/>
    <w:rsid w:val="408B2C10"/>
    <w:rsid w:val="41375CE4"/>
    <w:rsid w:val="454B7346"/>
    <w:rsid w:val="468913E5"/>
    <w:rsid w:val="47B67360"/>
    <w:rsid w:val="494B39DB"/>
    <w:rsid w:val="49737D8A"/>
    <w:rsid w:val="4A1000BF"/>
    <w:rsid w:val="4A8F1010"/>
    <w:rsid w:val="4D1F7376"/>
    <w:rsid w:val="4D2D5F03"/>
    <w:rsid w:val="4D74413E"/>
    <w:rsid w:val="4EFD7817"/>
    <w:rsid w:val="4F340CEA"/>
    <w:rsid w:val="4F354720"/>
    <w:rsid w:val="4F8E4A33"/>
    <w:rsid w:val="505B381C"/>
    <w:rsid w:val="52F00C00"/>
    <w:rsid w:val="562E1FB1"/>
    <w:rsid w:val="5639085C"/>
    <w:rsid w:val="576553E7"/>
    <w:rsid w:val="58E3031B"/>
    <w:rsid w:val="594F5BDA"/>
    <w:rsid w:val="59E246AF"/>
    <w:rsid w:val="5AC6737D"/>
    <w:rsid w:val="5B224BEE"/>
    <w:rsid w:val="5D6346CC"/>
    <w:rsid w:val="5DCD11AC"/>
    <w:rsid w:val="5E975310"/>
    <w:rsid w:val="602268A0"/>
    <w:rsid w:val="613A619B"/>
    <w:rsid w:val="63943366"/>
    <w:rsid w:val="652872BB"/>
    <w:rsid w:val="664020B2"/>
    <w:rsid w:val="679323CA"/>
    <w:rsid w:val="695B67F9"/>
    <w:rsid w:val="69632836"/>
    <w:rsid w:val="69CF70C6"/>
    <w:rsid w:val="6A1C264C"/>
    <w:rsid w:val="6B4A7FB8"/>
    <w:rsid w:val="6C181251"/>
    <w:rsid w:val="75413433"/>
    <w:rsid w:val="76203D11"/>
    <w:rsid w:val="765B47B8"/>
    <w:rsid w:val="79AF093A"/>
    <w:rsid w:val="7BD058AA"/>
    <w:rsid w:val="7FB851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1"/>
    <w:qFormat/>
    <w:uiPriority w:val="0"/>
    <w:rPr>
      <w:rFonts w:ascii="宋体" w:hAnsi="Courier New" w:cs="Century"/>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纯文本1"/>
    <w:basedOn w:val="1"/>
    <w:qFormat/>
    <w:uiPriority w:val="0"/>
    <w:pPr>
      <w:autoSpaceDE w:val="0"/>
      <w:autoSpaceDN w:val="0"/>
      <w:adjustRightInd w:val="0"/>
      <w:textAlignment w:val="baseline"/>
    </w:pPr>
    <w:rPr>
      <w:rFonts w:ascii="宋体"/>
      <w:sz w:val="20"/>
    </w:rPr>
  </w:style>
  <w:style w:type="character" w:customStyle="1" w:styleId="10">
    <w:name w:val="页脚 Char"/>
    <w:basedOn w:val="7"/>
    <w:link w:val="4"/>
    <w:qFormat/>
    <w:uiPriority w:val="0"/>
    <w:rPr>
      <w:rFonts w:ascii="Times New Roman" w:hAnsi="Times New Roman" w:eastAsia="宋体" w:cs="Times New Roman"/>
      <w:sz w:val="18"/>
      <w:szCs w:val="18"/>
    </w:rPr>
  </w:style>
  <w:style w:type="character" w:customStyle="1" w:styleId="11">
    <w:name w:val="纯文本 Char"/>
    <w:basedOn w:val="7"/>
    <w:link w:val="2"/>
    <w:qFormat/>
    <w:uiPriority w:val="0"/>
    <w:rPr>
      <w:rFonts w:ascii="宋体" w:hAnsi="Courier New" w:eastAsia="宋体" w:cs="Century"/>
      <w:szCs w:val="21"/>
    </w:rPr>
  </w:style>
  <w:style w:type="character" w:customStyle="1" w:styleId="12">
    <w:name w:val="页眉 Char"/>
    <w:basedOn w:val="7"/>
    <w:link w:val="5"/>
    <w:qFormat/>
    <w:uiPriority w:val="99"/>
    <w:rPr>
      <w:rFonts w:ascii="Times New Roman" w:hAnsi="Times New Roman" w:eastAsia="宋体" w:cs="Times New Roman"/>
      <w:kern w:val="2"/>
      <w:sz w:val="18"/>
      <w:szCs w:val="18"/>
    </w:rPr>
  </w:style>
  <w:style w:type="character" w:customStyle="1" w:styleId="13">
    <w:name w:val="批注框文本 Char"/>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324</Words>
  <Characters>1848</Characters>
  <Lines>15</Lines>
  <Paragraphs>4</Paragraphs>
  <TotalTime>0</TotalTime>
  <ScaleCrop>false</ScaleCrop>
  <LinksUpToDate>false</LinksUpToDate>
  <CharactersWithSpaces>2168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2018-04-13T02:59:00Z</dcterms:created>
  <dc:creator>own</dc:creator>
  <cp:lastModifiedBy>521</cp:lastModifiedBy>
  <cp:lastPrinted>2019-04-19T07:42:00Z</cp:lastPrinted>
  <dcterms:modified xsi:type="dcterms:W3CDTF">2019-06-20T12:50:33Z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