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b w:val="0"/>
          <w:bCs w:val="0"/>
          <w:sz w:val="21"/>
          <w:szCs w:val="24"/>
          <w:lang w:val="en-US" w:eastAsia="zh-CN"/>
        </w:rPr>
      </w:pPr>
      <w:bookmarkStart w:id="0" w:name="_GoBack"/>
      <w:bookmarkEnd w:id="0"/>
      <w:r>
        <w:rPr>
          <w:rFonts w:hint="eastAsia"/>
          <w:b w:val="0"/>
          <w:bCs w:val="0"/>
          <w:sz w:val="21"/>
          <w:szCs w:val="24"/>
          <w:lang w:val="en-US" w:eastAsia="zh-CN"/>
        </w:rPr>
        <w:t>附件1</w:t>
      </w:r>
    </w:p>
    <w:p>
      <w:pPr>
        <w:jc w:val="center"/>
        <w:rPr>
          <w:rFonts w:hint="eastAsia"/>
          <w:b/>
          <w:bCs/>
          <w:sz w:val="32"/>
          <w:szCs w:val="40"/>
          <w:lang w:val="en-US" w:eastAsia="zh-CN"/>
        </w:rPr>
      </w:pPr>
      <w:r>
        <w:rPr>
          <w:rFonts w:hint="eastAsia"/>
          <w:b/>
          <w:bCs/>
          <w:sz w:val="32"/>
          <w:szCs w:val="40"/>
          <w:lang w:val="en-US" w:eastAsia="zh-CN"/>
        </w:rPr>
        <w:t>桦川县农产品质量检测中心高校现场公开招聘化验员岗位及资格条件一览表</w:t>
      </w:r>
    </w:p>
    <w:tbl>
      <w:tblPr>
        <w:tblStyle w:val="2"/>
        <w:tblW w:w="14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842"/>
        <w:gridCol w:w="1083"/>
        <w:gridCol w:w="1288"/>
        <w:gridCol w:w="801"/>
        <w:gridCol w:w="887"/>
        <w:gridCol w:w="896"/>
        <w:gridCol w:w="2277"/>
        <w:gridCol w:w="1289"/>
        <w:gridCol w:w="1830"/>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92" w:hRule="atLeast"/>
        </w:trPr>
        <w:tc>
          <w:tcPr>
            <w:tcW w:w="645" w:type="dxa"/>
            <w:vMerge w:val="restart"/>
            <w:vAlign w:val="center"/>
          </w:tcPr>
          <w:p>
            <w:pPr>
              <w:jc w:val="center"/>
              <w:rPr>
                <w:rFonts w:hint="default"/>
                <w:lang w:val="en-US" w:eastAsia="zh-CN"/>
              </w:rPr>
            </w:pPr>
            <w:r>
              <w:rPr>
                <w:rFonts w:hint="eastAsia"/>
                <w:lang w:val="en-US" w:eastAsia="zh-CN"/>
              </w:rPr>
              <w:t>序号</w:t>
            </w:r>
          </w:p>
        </w:tc>
        <w:tc>
          <w:tcPr>
            <w:tcW w:w="1842" w:type="dxa"/>
            <w:vMerge w:val="restart"/>
            <w:vAlign w:val="center"/>
          </w:tcPr>
          <w:p>
            <w:pPr>
              <w:jc w:val="center"/>
              <w:rPr>
                <w:rFonts w:hint="default"/>
                <w:lang w:val="en-US" w:eastAsia="zh-CN"/>
              </w:rPr>
            </w:pPr>
            <w:r>
              <w:rPr>
                <w:rFonts w:hint="eastAsia"/>
                <w:lang w:val="en-US" w:eastAsia="zh-CN"/>
              </w:rPr>
              <w:t>招聘单位</w:t>
            </w:r>
          </w:p>
        </w:tc>
        <w:tc>
          <w:tcPr>
            <w:tcW w:w="1083" w:type="dxa"/>
            <w:vMerge w:val="restart"/>
            <w:vAlign w:val="center"/>
          </w:tcPr>
          <w:p>
            <w:pPr>
              <w:jc w:val="center"/>
              <w:rPr>
                <w:rFonts w:hint="default"/>
                <w:lang w:val="en-US" w:eastAsia="zh-CN"/>
              </w:rPr>
            </w:pPr>
            <w:r>
              <w:rPr>
                <w:rFonts w:hint="eastAsia"/>
                <w:lang w:val="en-US" w:eastAsia="zh-CN"/>
              </w:rPr>
              <w:t>招聘岗位</w:t>
            </w:r>
          </w:p>
        </w:tc>
        <w:tc>
          <w:tcPr>
            <w:tcW w:w="1288" w:type="dxa"/>
            <w:vMerge w:val="restart"/>
            <w:vAlign w:val="center"/>
          </w:tcPr>
          <w:p>
            <w:pPr>
              <w:jc w:val="center"/>
              <w:rPr>
                <w:rFonts w:hint="default"/>
                <w:lang w:val="en-US" w:eastAsia="zh-CN"/>
              </w:rPr>
            </w:pPr>
            <w:r>
              <w:rPr>
                <w:rFonts w:hint="eastAsia"/>
                <w:lang w:val="en-US" w:eastAsia="zh-CN"/>
              </w:rPr>
              <w:t>招聘计划数</w:t>
            </w:r>
          </w:p>
        </w:tc>
        <w:tc>
          <w:tcPr>
            <w:tcW w:w="7980" w:type="dxa"/>
            <w:gridSpan w:val="6"/>
            <w:vAlign w:val="center"/>
          </w:tcPr>
          <w:p>
            <w:pPr>
              <w:jc w:val="center"/>
              <w:rPr>
                <w:rFonts w:hint="default"/>
                <w:lang w:val="en-US" w:eastAsia="zh-CN"/>
              </w:rPr>
            </w:pPr>
            <w:r>
              <w:rPr>
                <w:rFonts w:hint="eastAsia"/>
                <w:lang w:val="en-US" w:eastAsia="zh-CN"/>
              </w:rPr>
              <w:t>招聘条件及要求</w:t>
            </w:r>
          </w:p>
        </w:tc>
        <w:tc>
          <w:tcPr>
            <w:tcW w:w="1289" w:type="dxa"/>
            <w:vMerge w:val="restart"/>
            <w:vAlign w:val="center"/>
          </w:tcPr>
          <w:p>
            <w:pPr>
              <w:jc w:val="center"/>
              <w:rPr>
                <w:rFonts w:hint="default"/>
                <w:lang w:val="en-US" w:eastAsia="zh-CN"/>
              </w:rPr>
            </w:pPr>
            <w:r>
              <w:rPr>
                <w:rFonts w:hint="eastAsia"/>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645" w:type="dxa"/>
            <w:vMerge w:val="continue"/>
            <w:vAlign w:val="center"/>
          </w:tcPr>
          <w:p>
            <w:pPr>
              <w:jc w:val="center"/>
              <w:rPr>
                <w:rFonts w:hint="default"/>
                <w:lang w:val="en-US" w:eastAsia="zh-CN"/>
              </w:rPr>
            </w:pPr>
          </w:p>
        </w:tc>
        <w:tc>
          <w:tcPr>
            <w:tcW w:w="1842" w:type="dxa"/>
            <w:vMerge w:val="continue"/>
            <w:vAlign w:val="center"/>
          </w:tcPr>
          <w:p>
            <w:pPr>
              <w:jc w:val="center"/>
              <w:rPr>
                <w:rFonts w:hint="default"/>
                <w:lang w:val="en-US" w:eastAsia="zh-CN"/>
              </w:rPr>
            </w:pPr>
          </w:p>
        </w:tc>
        <w:tc>
          <w:tcPr>
            <w:tcW w:w="1083" w:type="dxa"/>
            <w:vMerge w:val="continue"/>
            <w:vAlign w:val="center"/>
          </w:tcPr>
          <w:p>
            <w:pPr>
              <w:jc w:val="center"/>
              <w:rPr>
                <w:rFonts w:hint="default"/>
                <w:lang w:val="en-US" w:eastAsia="zh-CN"/>
              </w:rPr>
            </w:pPr>
          </w:p>
        </w:tc>
        <w:tc>
          <w:tcPr>
            <w:tcW w:w="1288" w:type="dxa"/>
            <w:vMerge w:val="continue"/>
            <w:vAlign w:val="center"/>
          </w:tcPr>
          <w:p>
            <w:pPr>
              <w:jc w:val="center"/>
              <w:rPr>
                <w:rFonts w:hint="default"/>
                <w:lang w:val="en-US" w:eastAsia="zh-CN"/>
              </w:rPr>
            </w:pPr>
          </w:p>
        </w:tc>
        <w:tc>
          <w:tcPr>
            <w:tcW w:w="801" w:type="dxa"/>
            <w:vAlign w:val="center"/>
          </w:tcPr>
          <w:p>
            <w:pPr>
              <w:jc w:val="center"/>
              <w:rPr>
                <w:rFonts w:hint="default"/>
                <w:lang w:val="en-US" w:eastAsia="zh-CN"/>
              </w:rPr>
            </w:pPr>
            <w:r>
              <w:rPr>
                <w:rFonts w:hint="eastAsia"/>
                <w:lang w:val="en-US" w:eastAsia="zh-CN"/>
              </w:rPr>
              <w:t>年龄</w:t>
            </w:r>
          </w:p>
        </w:tc>
        <w:tc>
          <w:tcPr>
            <w:tcW w:w="887" w:type="dxa"/>
            <w:vAlign w:val="center"/>
          </w:tcPr>
          <w:p>
            <w:pPr>
              <w:jc w:val="center"/>
              <w:rPr>
                <w:rFonts w:hint="default"/>
                <w:lang w:val="en-US" w:eastAsia="zh-CN"/>
              </w:rPr>
            </w:pPr>
            <w:r>
              <w:rPr>
                <w:rFonts w:hint="eastAsia"/>
                <w:lang w:val="en-US" w:eastAsia="zh-CN"/>
              </w:rPr>
              <w:t>户籍</w:t>
            </w:r>
          </w:p>
        </w:tc>
        <w:tc>
          <w:tcPr>
            <w:tcW w:w="896" w:type="dxa"/>
            <w:vAlign w:val="center"/>
          </w:tcPr>
          <w:p>
            <w:pPr>
              <w:jc w:val="center"/>
              <w:rPr>
                <w:rFonts w:hint="default"/>
                <w:lang w:val="en-US" w:eastAsia="zh-CN"/>
              </w:rPr>
            </w:pPr>
            <w:r>
              <w:rPr>
                <w:rFonts w:hint="eastAsia"/>
                <w:lang w:val="en-US" w:eastAsia="zh-CN"/>
              </w:rPr>
              <w:t>性别</w:t>
            </w:r>
          </w:p>
        </w:tc>
        <w:tc>
          <w:tcPr>
            <w:tcW w:w="2277" w:type="dxa"/>
            <w:vAlign w:val="center"/>
          </w:tcPr>
          <w:p>
            <w:pPr>
              <w:jc w:val="center"/>
              <w:rPr>
                <w:rFonts w:hint="default"/>
                <w:lang w:val="en-US" w:eastAsia="zh-CN"/>
              </w:rPr>
            </w:pPr>
            <w:r>
              <w:rPr>
                <w:rFonts w:hint="eastAsia"/>
                <w:lang w:val="en-US" w:eastAsia="zh-CN"/>
              </w:rPr>
              <w:t>学历</w:t>
            </w:r>
          </w:p>
        </w:tc>
        <w:tc>
          <w:tcPr>
            <w:tcW w:w="1289" w:type="dxa"/>
            <w:vAlign w:val="center"/>
          </w:tcPr>
          <w:p>
            <w:pPr>
              <w:jc w:val="center"/>
              <w:rPr>
                <w:rFonts w:hint="default"/>
                <w:lang w:val="en-US" w:eastAsia="zh-CN"/>
              </w:rPr>
            </w:pPr>
            <w:r>
              <w:rPr>
                <w:rFonts w:hint="eastAsia"/>
                <w:lang w:val="en-US" w:eastAsia="zh-CN"/>
              </w:rPr>
              <w:t>专业</w:t>
            </w:r>
          </w:p>
        </w:tc>
        <w:tc>
          <w:tcPr>
            <w:tcW w:w="1830" w:type="dxa"/>
            <w:vAlign w:val="center"/>
          </w:tcPr>
          <w:p>
            <w:pPr>
              <w:jc w:val="center"/>
              <w:rPr>
                <w:rFonts w:hint="default"/>
                <w:lang w:val="en-US" w:eastAsia="zh-CN"/>
              </w:rPr>
            </w:pPr>
            <w:r>
              <w:rPr>
                <w:rFonts w:hint="eastAsia"/>
                <w:lang w:val="en-US" w:eastAsia="zh-CN"/>
              </w:rPr>
              <w:t>资格条件</w:t>
            </w:r>
          </w:p>
        </w:tc>
        <w:tc>
          <w:tcPr>
            <w:tcW w:w="1289" w:type="dxa"/>
            <w:vMerge w:val="continue"/>
            <w:vAlign w:val="center"/>
          </w:tcPr>
          <w:p>
            <w:pPr>
              <w:jc w:val="cente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vAlign w:val="center"/>
          </w:tcPr>
          <w:p>
            <w:pPr>
              <w:jc w:val="center"/>
              <w:rPr>
                <w:rFonts w:hint="default"/>
                <w:lang w:val="en-US" w:eastAsia="zh-CN"/>
              </w:rPr>
            </w:pPr>
            <w:r>
              <w:rPr>
                <w:rFonts w:hint="eastAsia"/>
                <w:lang w:val="en-US" w:eastAsia="zh-CN"/>
              </w:rPr>
              <w:t>1</w:t>
            </w:r>
          </w:p>
        </w:tc>
        <w:tc>
          <w:tcPr>
            <w:tcW w:w="1842" w:type="dxa"/>
            <w:vAlign w:val="center"/>
          </w:tcPr>
          <w:p>
            <w:pPr>
              <w:jc w:val="center"/>
              <w:rPr>
                <w:rFonts w:hint="default"/>
                <w:lang w:val="en-US" w:eastAsia="zh-CN"/>
              </w:rPr>
            </w:pPr>
            <w:r>
              <w:rPr>
                <w:rFonts w:hint="eastAsia"/>
                <w:lang w:val="en-US" w:eastAsia="zh-CN"/>
              </w:rPr>
              <w:t>桦川县农产品质量检测中心</w:t>
            </w:r>
          </w:p>
        </w:tc>
        <w:tc>
          <w:tcPr>
            <w:tcW w:w="1083" w:type="dxa"/>
            <w:vAlign w:val="center"/>
          </w:tcPr>
          <w:p>
            <w:pPr>
              <w:jc w:val="center"/>
              <w:rPr>
                <w:rFonts w:hint="default"/>
                <w:lang w:val="en-US" w:eastAsia="zh-CN"/>
              </w:rPr>
            </w:pPr>
            <w:r>
              <w:rPr>
                <w:rFonts w:hint="eastAsia"/>
                <w:lang w:val="en-US" w:eastAsia="zh-CN"/>
              </w:rPr>
              <w:t>化验员</w:t>
            </w:r>
          </w:p>
        </w:tc>
        <w:tc>
          <w:tcPr>
            <w:tcW w:w="1288" w:type="dxa"/>
            <w:vAlign w:val="center"/>
          </w:tcPr>
          <w:p>
            <w:pPr>
              <w:jc w:val="center"/>
              <w:rPr>
                <w:rFonts w:hint="default"/>
                <w:lang w:val="en-US" w:eastAsia="zh-CN"/>
              </w:rPr>
            </w:pPr>
            <w:r>
              <w:rPr>
                <w:rFonts w:hint="eastAsia"/>
                <w:lang w:val="en-US" w:eastAsia="zh-CN"/>
              </w:rPr>
              <w:t>6</w:t>
            </w:r>
          </w:p>
        </w:tc>
        <w:tc>
          <w:tcPr>
            <w:tcW w:w="801" w:type="dxa"/>
            <w:vAlign w:val="center"/>
          </w:tcPr>
          <w:p>
            <w:pPr>
              <w:jc w:val="center"/>
              <w:rPr>
                <w:rFonts w:hint="default"/>
                <w:lang w:val="en-US" w:eastAsia="zh-CN"/>
              </w:rPr>
            </w:pPr>
          </w:p>
        </w:tc>
        <w:tc>
          <w:tcPr>
            <w:tcW w:w="887" w:type="dxa"/>
            <w:vAlign w:val="center"/>
          </w:tcPr>
          <w:p>
            <w:pPr>
              <w:jc w:val="center"/>
              <w:rPr>
                <w:rFonts w:hint="default"/>
                <w:lang w:val="en-US" w:eastAsia="zh-CN"/>
              </w:rPr>
            </w:pPr>
            <w:r>
              <w:rPr>
                <w:rFonts w:hint="eastAsia"/>
                <w:lang w:val="en-US" w:eastAsia="zh-CN"/>
              </w:rPr>
              <w:t>不限</w:t>
            </w:r>
          </w:p>
        </w:tc>
        <w:tc>
          <w:tcPr>
            <w:tcW w:w="896" w:type="dxa"/>
            <w:vAlign w:val="center"/>
          </w:tcPr>
          <w:p>
            <w:pPr>
              <w:jc w:val="center"/>
              <w:rPr>
                <w:rFonts w:hint="default"/>
                <w:lang w:val="en-US" w:eastAsia="zh-CN"/>
              </w:rPr>
            </w:pPr>
            <w:r>
              <w:rPr>
                <w:rFonts w:hint="eastAsia"/>
                <w:lang w:val="en-US" w:eastAsia="zh-CN"/>
              </w:rPr>
              <w:t>不限</w:t>
            </w:r>
          </w:p>
        </w:tc>
        <w:tc>
          <w:tcPr>
            <w:tcW w:w="2277" w:type="dxa"/>
            <w:vAlign w:val="center"/>
          </w:tcPr>
          <w:p>
            <w:pPr>
              <w:jc w:val="center"/>
              <w:rPr>
                <w:rFonts w:hint="default"/>
                <w:lang w:val="en-US" w:eastAsia="zh-CN"/>
              </w:rPr>
            </w:pPr>
            <w:r>
              <w:rPr>
                <w:rFonts w:hint="eastAsia"/>
                <w:lang w:val="en-US" w:eastAsia="zh-CN"/>
              </w:rPr>
              <w:t>普通高校统招全日制2019年应届二表本科及以上毕业生</w:t>
            </w:r>
          </w:p>
        </w:tc>
        <w:tc>
          <w:tcPr>
            <w:tcW w:w="1289" w:type="dxa"/>
            <w:vAlign w:val="center"/>
          </w:tcPr>
          <w:p>
            <w:pPr>
              <w:jc w:val="center"/>
              <w:rPr>
                <w:rFonts w:hint="default"/>
                <w:lang w:val="en-US" w:eastAsia="zh-CN"/>
              </w:rPr>
            </w:pPr>
            <w:r>
              <w:rPr>
                <w:rFonts w:hint="eastAsia"/>
                <w:lang w:val="en-US" w:eastAsia="zh-CN"/>
              </w:rPr>
              <w:t>化学，食品检测，农学及相关专业</w:t>
            </w:r>
          </w:p>
        </w:tc>
        <w:tc>
          <w:tcPr>
            <w:tcW w:w="1830" w:type="dxa"/>
            <w:vAlign w:val="center"/>
          </w:tcPr>
          <w:p>
            <w:pPr>
              <w:jc w:val="center"/>
              <w:rPr>
                <w:rFonts w:hint="default"/>
                <w:lang w:val="en-US" w:eastAsia="zh-CN"/>
              </w:rPr>
            </w:pPr>
          </w:p>
        </w:tc>
        <w:tc>
          <w:tcPr>
            <w:tcW w:w="1289" w:type="dxa"/>
            <w:vAlign w:val="center"/>
          </w:tcPr>
          <w:p>
            <w:pPr>
              <w:jc w:val="center"/>
              <w:rPr>
                <w:rFonts w:hint="default"/>
                <w:lang w:val="en-US" w:eastAsia="zh-CN"/>
              </w:rPr>
            </w:pPr>
          </w:p>
        </w:tc>
      </w:tr>
    </w:tbl>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sectPr>
      <w:pgSz w:w="16838" w:h="11906" w:orient="landscape"/>
      <w:pgMar w:top="1803" w:right="1440" w:bottom="1803"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591D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uiPriority w:val="0"/>
  </w:style>
  <w:style w:type="table" w:default="1" w:styleId="2">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2019-05-31T07:13:00Z</dcterms:created>
  <dc:creator>南</dc:creator>
  <cp:lastModifiedBy>小幸运.X</cp:lastModifiedBy>
  <cp:lastPrinted>2019-05-31T07:50:00Z</cp:lastPrinted>
  <dcterms:modified xsi:type="dcterms:W3CDTF">2019-06-05T08:45:36Z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