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b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pacing w:line="560" w:lineRule="exact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天门市教育局</w:t>
      </w:r>
      <w:r>
        <w:rPr>
          <w:rFonts w:ascii="宋体" w:hAnsi="宋体" w:cs="宋体"/>
          <w:b/>
          <w:bCs/>
          <w:sz w:val="32"/>
          <w:szCs w:val="32"/>
          <w:shd w:val="clear" w:color="auto" w:fill="FFFFFF"/>
        </w:rPr>
        <w:t>直属学校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201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年</w:t>
      </w:r>
    </w:p>
    <w:p>
      <w:pPr>
        <w:pStyle w:val="2"/>
        <w:widowControl/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引进人才岗位计划及条件一览表</w:t>
      </w:r>
    </w:p>
    <w:tbl>
      <w:tblPr>
        <w:tblStyle w:val="4"/>
        <w:tblW w:w="8241" w:type="dxa"/>
        <w:tblInd w:w="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226"/>
        <w:gridCol w:w="1697"/>
        <w:gridCol w:w="973"/>
        <w:gridCol w:w="33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引进学校</w:t>
            </w:r>
          </w:p>
        </w:tc>
        <w:tc>
          <w:tcPr>
            <w:tcW w:w="12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任教学科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引进计划</w:t>
            </w: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firstLine="442" w:firstLineChars="200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引进条件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天门中学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文学类、语言类专业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2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  <w:p>
            <w:pPr>
              <w:pStyle w:val="2"/>
              <w:widowControl/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１、持有高中教师资格证；</w:t>
            </w:r>
          </w:p>
          <w:p>
            <w:pPr>
              <w:pStyle w:val="2"/>
              <w:widowControl/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２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学历符合下列条件之一：</w:t>
            </w:r>
          </w:p>
          <w:p>
            <w:pPr>
              <w:pStyle w:val="2"/>
              <w:widowControl/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（１）部属师范大学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毕业生；</w:t>
            </w:r>
          </w:p>
          <w:p>
            <w:pPr>
              <w:pStyle w:val="2"/>
              <w:widowControl/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（２）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国、省“双一流”院校研究生，且本科阶段为师范一本院校，本科和研究生阶段专业一致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数学类专业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英语类专业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物理类专业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化学类专业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生物类专业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地理类专业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信息教育技术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信息技术类专业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0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firstLine="400" w:firstLineChars="200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合计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</w:tbl>
    <w:p>
      <w:pPr>
        <w:pStyle w:val="2"/>
        <w:widowControl/>
        <w:spacing w:line="560" w:lineRule="exact"/>
        <w:jc w:val="center"/>
        <w:rPr>
          <w:rFonts w:hint="eastAsia" w:ascii="楷体_GB2312" w:hAnsi="楷体_GB2312" w:eastAsia="楷体_GB2312" w:cs="楷体_GB2312"/>
          <w:sz w:val="20"/>
          <w:szCs w:val="20"/>
        </w:rPr>
      </w:pPr>
    </w:p>
    <w:tbl>
      <w:tblPr>
        <w:tblStyle w:val="4"/>
        <w:tblW w:w="83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963"/>
        <w:gridCol w:w="2415"/>
        <w:gridCol w:w="870"/>
        <w:gridCol w:w="30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引进学校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任教学科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引进计划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 w:firstLine="402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天门实验高中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语文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文学类、语言类专业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１、持有高中教师资格证；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２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学历符合下列条件之一：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（1）部属师范大学师范毕业生；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（2）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985、211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院校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相关专业本科毕业生；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（3）第一批本科高校师范教育专业优秀本科毕业生；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（4）相关专业全日制硕士研究生。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数学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数学类专业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英语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英语类专业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物理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物理类专业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生物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生物类专业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政治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政治类、哲学类专业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历史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历史类专业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1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地理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地理类专业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计算机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计算机类、信息类专业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体育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体育类专业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exact"/>
          <w:jc w:val="center"/>
        </w:trPr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合计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20</w:t>
            </w:r>
          </w:p>
        </w:tc>
        <w:tc>
          <w:tcPr>
            <w:tcW w:w="3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</w:tr>
    </w:tbl>
    <w:p>
      <w:pPr>
        <w:pStyle w:val="2"/>
        <w:widowControl/>
        <w:spacing w:line="560" w:lineRule="exact"/>
        <w:jc w:val="both"/>
        <w:rPr>
          <w:rFonts w:hint="eastAsia" w:ascii="仿宋" w:hAnsi="仿宋" w:eastAsia="仿宋"/>
        </w:rPr>
      </w:pPr>
    </w:p>
    <w:p>
      <w:pPr>
        <w:pStyle w:val="2"/>
        <w:widowControl/>
        <w:spacing w:line="560" w:lineRule="exact"/>
        <w:jc w:val="both"/>
        <w:rPr>
          <w:rFonts w:hint="eastAsia" w:ascii="仿宋" w:hAnsi="仿宋" w:eastAsia="仿宋"/>
        </w:rPr>
      </w:pPr>
    </w:p>
    <w:p>
      <w:pPr>
        <w:pStyle w:val="2"/>
        <w:widowControl/>
        <w:spacing w:line="560" w:lineRule="exact"/>
        <w:jc w:val="both"/>
        <w:rPr>
          <w:rFonts w:hint="eastAsia" w:ascii="仿宋" w:hAnsi="仿宋" w:eastAsia="仿宋"/>
        </w:rPr>
      </w:pPr>
    </w:p>
    <w:tbl>
      <w:tblPr>
        <w:tblStyle w:val="4"/>
        <w:tblW w:w="8220" w:type="dxa"/>
        <w:tblInd w:w="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2087"/>
        <w:gridCol w:w="1085"/>
        <w:gridCol w:w="3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引进学校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任教</w:t>
            </w: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  <w:t>所需专业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引进计划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 w:firstLine="402" w:firstLineChars="20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天门职业学院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文学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、语言类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理工类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英语类专业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体育类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思政类专业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护理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中医类专业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康复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类、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药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lang w:bidi="ar"/>
              </w:rPr>
              <w:t>医学美容专业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财会类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、经济类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茶文化</w:t>
            </w:r>
          </w:p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及茶学类专业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类、高等教育类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艺术类专业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及相关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酒店管理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及相关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硕士研究生及以上学历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计算机类专业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航空装备类、人工智能类专业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汽车类专业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87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自动化类专业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eastAsia="zh-CN" w:bidi="ar"/>
              </w:rPr>
              <w:t>第一批普通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72" w:hRule="atLeast"/>
        </w:trPr>
        <w:tc>
          <w:tcPr>
            <w:tcW w:w="11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400" w:firstLineChars="200"/>
              <w:jc w:val="center"/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</w:p>
    <w:p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</w:p>
    <w:tbl>
      <w:tblPr>
        <w:tblStyle w:val="4"/>
        <w:tblW w:w="82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0"/>
        <w:gridCol w:w="2294"/>
        <w:gridCol w:w="866"/>
        <w:gridCol w:w="30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exac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引进学校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任教学科</w:t>
            </w: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  <w:t>及</w:t>
            </w:r>
          </w:p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引进计划</w:t>
            </w:r>
          </w:p>
        </w:tc>
        <w:tc>
          <w:tcPr>
            <w:tcW w:w="30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ind w:left="0" w:leftChars="0" w:right="0" w:rightChars="0" w:firstLine="402" w:firstLineChars="200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  <w:t>引进条件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2" w:hRule="exac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竟陵高级中学、</w:t>
            </w:r>
          </w:p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岳口高级中学、</w:t>
            </w:r>
          </w:p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渔薪高级中学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任教学科和专业由学校根据实际情况自行确定。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１、持有高中教师资格证；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２.学历符合下列条件之一：</w:t>
            </w:r>
          </w:p>
          <w:p>
            <w:pPr>
              <w:pStyle w:val="2"/>
              <w:widowControl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）第一批本科高校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及以上相关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专业毕业生；</w:t>
            </w:r>
          </w:p>
          <w:p>
            <w:pPr>
              <w:pStyle w:val="2"/>
              <w:widowControl/>
              <w:spacing w:line="560" w:lineRule="exact"/>
              <w:ind w:right="0" w:rightChars="0"/>
              <w:jc w:val="both"/>
              <w:rPr>
                <w:rFonts w:hint="eastAsia" w:ascii="楷体_GB2312" w:hAnsi="楷体_GB2312" w:eastAsia="楷体_GB2312" w:cs="楷体_GB2312"/>
                <w:b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）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湖北省内师范类院校相关专业本科毕业生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。</w:t>
            </w:r>
          </w:p>
        </w:tc>
      </w:tr>
    </w:tbl>
    <w:p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672D"/>
    <w:rsid w:val="4B0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2019-04-12T02:22:00Z</dcterms:created>
  <dc:creator>S</dc:creator>
  <cp:lastModifiedBy>S</cp:lastModifiedBy>
  <dcterms:modified xsi:type="dcterms:W3CDTF">2019-04-12T02:23:19Z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