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napToGrid w:val="0"/>
        <w:spacing w:line="560" w:lineRule="atLeast"/>
      </w:pPr>
      <w:r>
        <w:rPr>
          <w:rFonts w:ascii="黑体" w:hAnsi="宋体" w:eastAsia="黑体" w:cs="黑体"/>
          <w:sz w:val="28"/>
          <w:szCs w:val="28"/>
          <w:bdr w:val="none" w:color="auto" w:sz="0" w:space="0"/>
        </w:rPr>
        <w:t>一、招聘岗位</w:t>
      </w:r>
    </w:p>
    <w:tbl>
      <w:tblPr>
        <w:tblW w:w="6694" w:type="dxa"/>
        <w:jc w:val="center"/>
        <w:tblCellSpacing w:w="0" w:type="dxa"/>
        <w:tblInd w:w="82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565"/>
        <w:gridCol w:w="1843"/>
        <w:gridCol w:w="27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数量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学历学位要求</w:t>
            </w:r>
          </w:p>
        </w:tc>
        <w:tc>
          <w:tcPr>
            <w:tcW w:w="2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专业及方向要求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0" w:firstLine="0"/>
              <w:jc w:val="center"/>
            </w:pPr>
            <w:r>
              <w:rPr>
                <w:rFonts w:ascii="仿宋_GB2312" w:hAnsi="微软雅黑" w:eastAsia="仿宋_GB2312" w:cs="仿宋_GB2312"/>
                <w:sz w:val="28"/>
                <w:szCs w:val="28"/>
                <w:bdr w:val="none" w:color="auto" w:sz="0" w:space="0"/>
              </w:rPr>
              <w:t>会计核算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</w:rPr>
              <w:t>硕士研究生及以上</w:t>
            </w:r>
          </w:p>
        </w:tc>
        <w:tc>
          <w:tcPr>
            <w:tcW w:w="2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sz w:val="28"/>
                <w:szCs w:val="28"/>
                <w:bdr w:val="none" w:color="auto" w:sz="0" w:space="0"/>
              </w:rPr>
              <w:t>会计学、财务管理</w:t>
            </w:r>
          </w:p>
        </w:tc>
      </w:tr>
    </w:tbl>
    <w:p>
      <w:pPr>
        <w:pStyle w:val="8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2B4C"/>
    <w:rsid w:val="1DE32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20" w:beforeAutospacing="0" w:after="120" w:afterAutospacing="0" w:line="264" w:lineRule="atLeast"/>
      <w:ind w:left="0" w:right="0" w:firstLine="420"/>
      <w:jc w:val="left"/>
    </w:pPr>
    <w:rPr>
      <w:color w:val="505050"/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2018-06-05T08:41:00Z</dcterms:created>
  <dc:creator>武大娟</dc:creator>
  <cp:lastModifiedBy>武大娟</cp:lastModifiedBy>
  <dcterms:modified xsi:type="dcterms:W3CDTF">2018-06-05T08:41:51Z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