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3" w:lineRule="atLeast"/>
        <w:ind w:left="0" w:right="0" w:firstLine="0"/>
        <w:jc w:val="center"/>
        <w:rPr>
          <w:rFonts w:hint="eastAsia" w:ascii="Verdana" w:hAnsi="Verdana" w:cs="Verdana"/>
          <w:b w:val="0"/>
          <w:i w:val="0"/>
          <w:caps w:val="0"/>
          <w:color w:val="313131"/>
          <w:spacing w:val="0"/>
          <w:sz w:val="17"/>
          <w:szCs w:val="17"/>
        </w:rPr>
      </w:pPr>
      <w:r>
        <w:rPr>
          <w:rFonts w:ascii="方正小标宋简体" w:hAnsi="方正小标宋简体" w:eastAsia="方正小标宋简体" w:cs="方正小标宋简体"/>
          <w:b w:val="0"/>
          <w:i w:val="0"/>
          <w:caps w:val="0"/>
          <w:color w:val="000000"/>
          <w:spacing w:val="0"/>
          <w:sz w:val="36"/>
          <w:szCs w:val="36"/>
          <w:bdr w:val="none" w:color="auto" w:sz="0" w:space="0"/>
          <w:shd w:val="clear" w:fill="FFFFFF"/>
        </w:rPr>
        <w:t>成都轨道集团及成都地铁实业有限公司简介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8" w:lineRule="atLeast"/>
        <w:ind w:left="0" w:right="0" w:firstLine="0"/>
        <w:jc w:val="center"/>
        <w:rPr>
          <w:rFonts w:hint="default" w:ascii="Verdana" w:hAnsi="Verdana" w:cs="Verdana"/>
          <w:b w:val="0"/>
          <w:i w:val="0"/>
          <w:caps w:val="0"/>
          <w:color w:val="313131"/>
          <w:spacing w:val="0"/>
          <w:sz w:val="17"/>
          <w:szCs w:val="17"/>
        </w:rPr>
      </w:pPr>
      <w:r>
        <w:rPr>
          <w:rFonts w:hint="default" w:ascii="Verdana" w:hAnsi="Verdana" w:cs="Verdana"/>
          <w:b w:val="0"/>
          <w:i w:val="0"/>
          <w:caps w:val="0"/>
          <w:color w:val="313131"/>
          <w:spacing w:val="0"/>
          <w:sz w:val="26"/>
          <w:szCs w:val="2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3" w:lineRule="atLeast"/>
        <w:ind w:left="0" w:right="0" w:firstLine="526"/>
        <w:rPr>
          <w:rFonts w:hint="default" w:ascii="Verdana" w:hAnsi="Verdana" w:cs="Verdana"/>
          <w:b w:val="0"/>
          <w:i w:val="0"/>
          <w:caps w:val="0"/>
          <w:color w:val="313131"/>
          <w:spacing w:val="0"/>
          <w:sz w:val="17"/>
          <w:szCs w:val="17"/>
        </w:rPr>
      </w:pPr>
      <w:r>
        <w:rPr>
          <w:rFonts w:hint="eastAsia" w:ascii="宋体" w:hAnsi="宋体" w:eastAsia="宋体" w:cs="宋体"/>
          <w:b w:val="0"/>
          <w:i w:val="0"/>
          <w:caps w:val="0"/>
          <w:color w:val="000000"/>
          <w:spacing w:val="0"/>
          <w:sz w:val="26"/>
          <w:szCs w:val="26"/>
          <w:bdr w:val="none" w:color="auto" w:sz="0" w:space="0"/>
          <w:shd w:val="clear" w:fill="FFFFFF"/>
        </w:rPr>
        <w:t>成都轨道集团（由成都地铁有限责任公司</w:t>
      </w:r>
      <w:r>
        <w:rPr>
          <w:rFonts w:hint="eastAsia" w:ascii="宋体" w:hAnsi="宋体" w:eastAsia="宋体" w:cs="宋体"/>
          <w:b w:val="0"/>
          <w:i w:val="0"/>
          <w:caps w:val="0"/>
          <w:color w:val="313131"/>
          <w:spacing w:val="0"/>
          <w:sz w:val="26"/>
          <w:szCs w:val="26"/>
          <w:bdr w:val="none" w:color="auto" w:sz="0" w:space="0"/>
          <w:shd w:val="clear" w:fill="FFFFFF"/>
        </w:rPr>
        <w:t>2017</w:t>
      </w:r>
      <w:r>
        <w:rPr>
          <w:rFonts w:hint="eastAsia" w:ascii="宋体" w:hAnsi="宋体" w:eastAsia="宋体" w:cs="宋体"/>
          <w:b w:val="0"/>
          <w:i w:val="0"/>
          <w:caps w:val="0"/>
          <w:color w:val="000000"/>
          <w:spacing w:val="0"/>
          <w:sz w:val="26"/>
          <w:szCs w:val="26"/>
          <w:bdr w:val="none" w:color="auto" w:sz="0" w:space="0"/>
          <w:shd w:val="clear" w:fill="FFFFFF"/>
        </w:rPr>
        <w:t>年</w:t>
      </w:r>
      <w:r>
        <w:rPr>
          <w:rFonts w:hint="eastAsia" w:ascii="宋体" w:hAnsi="宋体" w:eastAsia="宋体" w:cs="宋体"/>
          <w:b w:val="0"/>
          <w:i w:val="0"/>
          <w:caps w:val="0"/>
          <w:color w:val="313131"/>
          <w:spacing w:val="0"/>
          <w:sz w:val="26"/>
          <w:szCs w:val="26"/>
          <w:bdr w:val="none" w:color="auto" w:sz="0" w:space="0"/>
          <w:shd w:val="clear" w:fill="FFFFFF"/>
        </w:rPr>
        <w:t>2</w:t>
      </w:r>
      <w:r>
        <w:rPr>
          <w:rFonts w:hint="eastAsia" w:ascii="宋体" w:hAnsi="宋体" w:eastAsia="宋体" w:cs="宋体"/>
          <w:b w:val="0"/>
          <w:i w:val="0"/>
          <w:caps w:val="0"/>
          <w:color w:val="000000"/>
          <w:spacing w:val="0"/>
          <w:sz w:val="26"/>
          <w:szCs w:val="26"/>
          <w:bdr w:val="none" w:color="auto" w:sz="0" w:space="0"/>
          <w:shd w:val="clear" w:fill="FFFFFF"/>
        </w:rPr>
        <w:t>月更名）成立于</w:t>
      </w:r>
      <w:r>
        <w:rPr>
          <w:rFonts w:hint="eastAsia" w:ascii="宋体" w:hAnsi="宋体" w:eastAsia="宋体" w:cs="宋体"/>
          <w:b w:val="0"/>
          <w:i w:val="0"/>
          <w:caps w:val="0"/>
          <w:color w:val="313131"/>
          <w:spacing w:val="0"/>
          <w:sz w:val="26"/>
          <w:szCs w:val="26"/>
          <w:bdr w:val="none" w:color="auto" w:sz="0" w:space="0"/>
          <w:shd w:val="clear" w:fill="FFFFFF"/>
        </w:rPr>
        <w:t>2004</w:t>
      </w:r>
      <w:r>
        <w:rPr>
          <w:rFonts w:hint="eastAsia" w:ascii="宋体" w:hAnsi="宋体" w:eastAsia="宋体" w:cs="宋体"/>
          <w:b w:val="0"/>
          <w:i w:val="0"/>
          <w:caps w:val="0"/>
          <w:color w:val="000000"/>
          <w:spacing w:val="0"/>
          <w:sz w:val="26"/>
          <w:szCs w:val="26"/>
          <w:bdr w:val="none" w:color="auto" w:sz="0" w:space="0"/>
          <w:shd w:val="clear" w:fill="FFFFFF"/>
        </w:rPr>
        <w:t>年，注册资金</w:t>
      </w:r>
      <w:r>
        <w:rPr>
          <w:rFonts w:hint="eastAsia" w:ascii="宋体" w:hAnsi="宋体" w:eastAsia="宋体" w:cs="宋体"/>
          <w:b w:val="0"/>
          <w:i w:val="0"/>
          <w:caps w:val="0"/>
          <w:color w:val="313131"/>
          <w:spacing w:val="0"/>
          <w:sz w:val="26"/>
          <w:szCs w:val="26"/>
          <w:bdr w:val="none" w:color="auto" w:sz="0" w:space="0"/>
          <w:shd w:val="clear" w:fill="FFFFFF"/>
        </w:rPr>
        <w:t>67</w:t>
      </w:r>
      <w:r>
        <w:rPr>
          <w:rFonts w:hint="eastAsia" w:ascii="宋体" w:hAnsi="宋体" w:eastAsia="宋体" w:cs="宋体"/>
          <w:b w:val="0"/>
          <w:i w:val="0"/>
          <w:caps w:val="0"/>
          <w:color w:val="000000"/>
          <w:spacing w:val="0"/>
          <w:sz w:val="26"/>
          <w:szCs w:val="26"/>
          <w:bdr w:val="none" w:color="auto" w:sz="0" w:space="0"/>
          <w:shd w:val="clear" w:fill="FFFFFF"/>
        </w:rPr>
        <w:t>亿元，是从事成都市城市轨道交通投资、建设、运营和开发的国有企业。集团公司目前设有</w:t>
      </w:r>
      <w:r>
        <w:rPr>
          <w:rFonts w:hint="eastAsia" w:ascii="宋体" w:hAnsi="宋体" w:eastAsia="宋体" w:cs="宋体"/>
          <w:b w:val="0"/>
          <w:i w:val="0"/>
          <w:caps w:val="0"/>
          <w:color w:val="313131"/>
          <w:spacing w:val="0"/>
          <w:sz w:val="26"/>
          <w:szCs w:val="26"/>
          <w:bdr w:val="none" w:color="auto" w:sz="0" w:space="0"/>
          <w:shd w:val="clear" w:fill="FFFFFF"/>
        </w:rPr>
        <w:t>18</w:t>
      </w:r>
      <w:r>
        <w:rPr>
          <w:rFonts w:hint="eastAsia" w:ascii="宋体" w:hAnsi="宋体" w:eastAsia="宋体" w:cs="宋体"/>
          <w:b w:val="0"/>
          <w:i w:val="0"/>
          <w:caps w:val="0"/>
          <w:color w:val="000000"/>
          <w:spacing w:val="0"/>
          <w:sz w:val="26"/>
          <w:szCs w:val="26"/>
          <w:bdr w:val="none" w:color="auto" w:sz="0" w:space="0"/>
          <w:shd w:val="clear" w:fill="FFFFFF"/>
        </w:rPr>
        <w:t>个部门，</w:t>
      </w:r>
      <w:r>
        <w:rPr>
          <w:rFonts w:hint="eastAsia" w:ascii="宋体" w:hAnsi="宋体" w:eastAsia="宋体" w:cs="宋体"/>
          <w:b w:val="0"/>
          <w:i w:val="0"/>
          <w:caps w:val="0"/>
          <w:color w:val="313131"/>
          <w:spacing w:val="0"/>
          <w:sz w:val="26"/>
          <w:szCs w:val="26"/>
          <w:bdr w:val="none" w:color="auto" w:sz="0" w:space="0"/>
          <w:shd w:val="clear" w:fill="FFFFFF"/>
        </w:rPr>
        <w:t>1</w:t>
      </w:r>
      <w:r>
        <w:rPr>
          <w:rFonts w:hint="eastAsia" w:ascii="宋体" w:hAnsi="宋体" w:eastAsia="宋体" w:cs="宋体"/>
          <w:b w:val="0"/>
          <w:i w:val="0"/>
          <w:caps w:val="0"/>
          <w:color w:val="000000"/>
          <w:spacing w:val="0"/>
          <w:sz w:val="26"/>
          <w:szCs w:val="26"/>
          <w:bdr w:val="none" w:color="auto" w:sz="0" w:space="0"/>
          <w:shd w:val="clear" w:fill="FFFFFF"/>
        </w:rPr>
        <w:t>家分公司，</w:t>
      </w:r>
      <w:r>
        <w:rPr>
          <w:rFonts w:hint="eastAsia" w:ascii="宋体" w:hAnsi="宋体" w:eastAsia="宋体" w:cs="宋体"/>
          <w:b w:val="0"/>
          <w:i w:val="0"/>
          <w:caps w:val="0"/>
          <w:color w:val="313131"/>
          <w:spacing w:val="0"/>
          <w:sz w:val="26"/>
          <w:szCs w:val="26"/>
          <w:bdr w:val="none" w:color="auto" w:sz="0" w:space="0"/>
          <w:shd w:val="clear" w:fill="FFFFFF"/>
        </w:rPr>
        <w:t>5</w:t>
      </w:r>
      <w:r>
        <w:rPr>
          <w:rFonts w:hint="eastAsia" w:ascii="宋体" w:hAnsi="宋体" w:eastAsia="宋体" w:cs="宋体"/>
          <w:b w:val="0"/>
          <w:i w:val="0"/>
          <w:caps w:val="0"/>
          <w:color w:val="000000"/>
          <w:spacing w:val="0"/>
          <w:sz w:val="26"/>
          <w:szCs w:val="26"/>
          <w:bdr w:val="none" w:color="auto" w:sz="0" w:space="0"/>
          <w:shd w:val="clear" w:fill="FFFFFF"/>
        </w:rPr>
        <w:t>家全资子公司和</w:t>
      </w:r>
      <w:r>
        <w:rPr>
          <w:rFonts w:hint="eastAsia" w:ascii="宋体" w:hAnsi="宋体" w:eastAsia="宋体" w:cs="宋体"/>
          <w:b w:val="0"/>
          <w:i w:val="0"/>
          <w:caps w:val="0"/>
          <w:color w:val="313131"/>
          <w:spacing w:val="0"/>
          <w:sz w:val="26"/>
          <w:szCs w:val="26"/>
          <w:bdr w:val="none" w:color="auto" w:sz="0" w:space="0"/>
          <w:shd w:val="clear" w:fill="FFFFFF"/>
        </w:rPr>
        <w:t>1</w:t>
      </w:r>
      <w:r>
        <w:rPr>
          <w:rFonts w:hint="eastAsia" w:ascii="宋体" w:hAnsi="宋体" w:eastAsia="宋体" w:cs="宋体"/>
          <w:b w:val="0"/>
          <w:i w:val="0"/>
          <w:caps w:val="0"/>
          <w:color w:val="000000"/>
          <w:spacing w:val="0"/>
          <w:sz w:val="26"/>
          <w:szCs w:val="26"/>
          <w:bdr w:val="none" w:color="auto" w:sz="0" w:space="0"/>
          <w:shd w:val="clear" w:fill="FFFFFF"/>
        </w:rPr>
        <w:t>家控股公司。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3" w:lineRule="atLeast"/>
        <w:ind w:left="0" w:right="0" w:firstLine="526"/>
        <w:rPr>
          <w:rFonts w:hint="default" w:ascii="Verdana" w:hAnsi="Verdana" w:cs="Verdana"/>
          <w:b w:val="0"/>
          <w:i w:val="0"/>
          <w:caps w:val="0"/>
          <w:color w:val="313131"/>
          <w:spacing w:val="0"/>
          <w:sz w:val="17"/>
          <w:szCs w:val="17"/>
        </w:rPr>
      </w:pPr>
      <w:r>
        <w:rPr>
          <w:rFonts w:ascii="仿宋_GB2312" w:hAnsi="宋体" w:eastAsia="仿宋_GB2312" w:cs="仿宋_GB2312"/>
          <w:b w:val="0"/>
          <w:i w:val="0"/>
          <w:caps w:val="0"/>
          <w:color w:val="000000"/>
          <w:spacing w:val="0"/>
          <w:sz w:val="26"/>
          <w:szCs w:val="26"/>
          <w:bdr w:val="none" w:color="auto" w:sz="0" w:space="0"/>
          <w:shd w:val="clear" w:fill="FFFFFF"/>
        </w:rPr>
        <w:t>成都地铁实业有限公司为成都轨道集团下属全资子公司，成立于</w:t>
      </w:r>
      <w:r>
        <w:rPr>
          <w:rFonts w:hint="eastAsia" w:ascii="宋体" w:hAnsi="宋体" w:eastAsia="宋体" w:cs="宋体"/>
          <w:b w:val="0"/>
          <w:i w:val="0"/>
          <w:caps w:val="0"/>
          <w:color w:val="313131"/>
          <w:spacing w:val="0"/>
          <w:sz w:val="26"/>
          <w:szCs w:val="26"/>
          <w:bdr w:val="none" w:color="auto" w:sz="0" w:space="0"/>
          <w:shd w:val="clear" w:fill="FFFFFF"/>
        </w:rPr>
        <w:t>2009</w:t>
      </w:r>
      <w:r>
        <w:rPr>
          <w:rFonts w:hint="default" w:ascii="仿宋_GB2312" w:hAnsi="宋体" w:eastAsia="仿宋_GB2312" w:cs="仿宋_GB2312"/>
          <w:b w:val="0"/>
          <w:i w:val="0"/>
          <w:caps w:val="0"/>
          <w:color w:val="000000"/>
          <w:spacing w:val="0"/>
          <w:sz w:val="26"/>
          <w:szCs w:val="26"/>
          <w:bdr w:val="none" w:color="auto" w:sz="0" w:space="0"/>
          <w:shd w:val="clear" w:fill="FFFFFF"/>
        </w:rPr>
        <w:t>年</w:t>
      </w:r>
      <w:r>
        <w:rPr>
          <w:rFonts w:hint="eastAsia" w:ascii="宋体" w:hAnsi="宋体" w:eastAsia="宋体" w:cs="宋体"/>
          <w:b w:val="0"/>
          <w:i w:val="0"/>
          <w:caps w:val="0"/>
          <w:color w:val="313131"/>
          <w:spacing w:val="0"/>
          <w:sz w:val="26"/>
          <w:szCs w:val="26"/>
          <w:bdr w:val="none" w:color="auto" w:sz="0" w:space="0"/>
          <w:shd w:val="clear" w:fill="FFFFFF"/>
        </w:rPr>
        <w:t>1</w:t>
      </w:r>
      <w:r>
        <w:rPr>
          <w:rFonts w:hint="default" w:ascii="仿宋_GB2312" w:hAnsi="宋体" w:eastAsia="仿宋_GB2312" w:cs="仿宋_GB2312"/>
          <w:b w:val="0"/>
          <w:i w:val="0"/>
          <w:caps w:val="0"/>
          <w:color w:val="000000"/>
          <w:spacing w:val="0"/>
          <w:sz w:val="26"/>
          <w:szCs w:val="26"/>
          <w:bdr w:val="none" w:color="auto" w:sz="0" w:space="0"/>
          <w:shd w:val="clear" w:fill="FFFFFF"/>
        </w:rPr>
        <w:t>月，主要负责成都城市轨道交通沿线（含车站、车辆段、停车场等）上盖物业项目综合开发利用。负责综合开发的策划研究、土地获取、项目投融资、项目建设和营销等房地产开发全过程管理。负责轨道正线以外的资产及在轨道交通项目投资以外形成的大宗固定资产的招商和经营管理。负责轨道交通与外部物业的接口资源管理等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13ED7"/>
    <w:rsid w:val="1A813E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2017-11-23T06:23:00Z</dcterms:created>
  <dc:creator>ASUS</dc:creator>
  <cp:lastModifiedBy>ASUS</cp:lastModifiedBy>
  <dcterms:modified xsi:type="dcterms:W3CDTF">2017-11-23T06:23:24Z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