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0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048"/>
        <w:gridCol w:w="4482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Style w:val="4"/>
                <w:rFonts w:ascii="微软雅黑" w:hAnsi="微软雅黑" w:eastAsia="微软雅黑" w:cs="微软雅黑"/>
                <w:b/>
                <w:color w:val="333333"/>
                <w:sz w:val="21"/>
                <w:szCs w:val="21"/>
              </w:rPr>
              <w:t>工作岗位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专业范围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21"/>
                <w:szCs w:val="21"/>
              </w:rPr>
              <w:t>备 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财务会计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2人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会计，财会电算化，统计，审计，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预决算。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须有会计从业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资质证书或预算员资质证书。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给排水工程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2人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给水工程，排水工程等。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具有初级以上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职称者优先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电气自控化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2人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工业自动化，电子技术，机电自控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维护及管理。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具有从业资质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网络信息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管理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1人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计算机，现代信息技术，网络维护管理。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水质检测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2人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水分析，化学分析，生物检测。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具有从业资质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0" w:hRule="atLeast"/>
          <w:tblCellSpacing w:w="15" w:type="dxa"/>
        </w:trPr>
        <w:tc>
          <w:tcPr>
            <w:tcW w:w="12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文  秘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1人</w:t>
            </w:r>
          </w:p>
        </w:tc>
        <w:tc>
          <w:tcPr>
            <w:tcW w:w="4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uto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汉语言文学，文秘专业。</w:t>
            </w:r>
          </w:p>
        </w:tc>
        <w:tc>
          <w:tcPr>
            <w:tcW w:w="322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direct"/>
    <w:basedOn w:val="3"/>
    <w:uiPriority w:val="0"/>
    <w:rPr>
      <w:color w:val="868585"/>
      <w:shd w:val="clear" w:fill="F1F1F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2017-11-03T05:26:42Z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