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27"/>
          <w:szCs w:val="27"/>
          <w:shd w:val="clear" w:fill="FFFFFF"/>
        </w:rPr>
        <w:t>台州市国有资产投资集团有限公司公开招聘拟聘用人员公示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1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（一）台州市国有资产投资集团有限公司：</w:t>
      </w:r>
    </w:p>
    <w:tbl>
      <w:tblPr>
        <w:tblW w:w="7108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1"/>
        <w:gridCol w:w="1452"/>
        <w:gridCol w:w="1264"/>
        <w:gridCol w:w="2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序号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性别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学历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陈凌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女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本科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董监事管理部综合管理岗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徐伟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男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本科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投资管理部工作人员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王广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男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投资管理部工作人员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1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（二）台州市能源开发有限公司：</w:t>
      </w:r>
    </w:p>
    <w:tbl>
      <w:tblPr>
        <w:tblW w:w="7108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1"/>
        <w:gridCol w:w="1452"/>
        <w:gridCol w:w="1264"/>
        <w:gridCol w:w="2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序号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性别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学历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  <w:tc>
          <w:tcPr>
            <w:tcW w:w="115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朱晓晓</w:t>
            </w:r>
          </w:p>
        </w:tc>
        <w:tc>
          <w:tcPr>
            <w:tcW w:w="14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女</w:t>
            </w:r>
          </w:p>
        </w:tc>
        <w:tc>
          <w:tcPr>
            <w:tcW w:w="12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本科</w:t>
            </w:r>
          </w:p>
        </w:tc>
        <w:tc>
          <w:tcPr>
            <w:tcW w:w="24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办公室综合岗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66A4"/>
    <w:rsid w:val="0F3A6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2017-08-24T11:55:00Z</dcterms:created>
  <dc:creator>ASUS</dc:creator>
  <cp:lastModifiedBy>ASUS</cp:lastModifiedBy>
  <dcterms:modified xsi:type="dcterms:W3CDTF">2017-08-24T11:55:13Z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