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104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576"/>
        <w:gridCol w:w="690"/>
        <w:gridCol w:w="793"/>
        <w:gridCol w:w="617"/>
        <w:gridCol w:w="583"/>
        <w:gridCol w:w="915"/>
        <w:gridCol w:w="1249"/>
        <w:gridCol w:w="1395"/>
        <w:gridCol w:w="783"/>
        <w:gridCol w:w="1201"/>
        <w:gridCol w:w="9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tblHeader/>
        </w:trPr>
        <w:tc>
          <w:tcPr>
            <w:tcW w:w="7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9"/>
                <w:szCs w:val="19"/>
              </w:rPr>
              <w:t>主管部门</w:t>
            </w:r>
          </w:p>
        </w:tc>
        <w:tc>
          <w:tcPr>
            <w:tcW w:w="12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9"/>
                <w:szCs w:val="19"/>
              </w:rPr>
              <w:t>招聘单位</w:t>
            </w:r>
          </w:p>
        </w:tc>
        <w:tc>
          <w:tcPr>
            <w:tcW w:w="79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9"/>
                <w:szCs w:val="19"/>
              </w:rPr>
              <w:t>岗位名称</w:t>
            </w:r>
          </w:p>
        </w:tc>
        <w:tc>
          <w:tcPr>
            <w:tcW w:w="61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9"/>
                <w:szCs w:val="19"/>
              </w:rPr>
              <w:t>招聘</w:t>
            </w:r>
            <w:r>
              <w:rPr>
                <w:rFonts w:hint="eastAsia" w:ascii="宋体" w:hAnsi="宋体" w:eastAsia="宋体" w:cs="宋体"/>
                <w:b/>
                <w:color w:val="00000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19"/>
                <w:szCs w:val="19"/>
              </w:rPr>
              <w:t>计划数</w:t>
            </w:r>
          </w:p>
        </w:tc>
        <w:tc>
          <w:tcPr>
            <w:tcW w:w="58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9"/>
                <w:szCs w:val="19"/>
              </w:rPr>
              <w:t>开考比例</w:t>
            </w:r>
          </w:p>
        </w:tc>
        <w:tc>
          <w:tcPr>
            <w:tcW w:w="434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9"/>
                <w:szCs w:val="19"/>
              </w:rPr>
              <w:t>招聘条件</w:t>
            </w:r>
          </w:p>
        </w:tc>
        <w:tc>
          <w:tcPr>
            <w:tcW w:w="120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9"/>
                <w:szCs w:val="19"/>
              </w:rPr>
              <w:t>通过资格审核人数</w:t>
            </w:r>
          </w:p>
        </w:tc>
        <w:tc>
          <w:tcPr>
            <w:tcW w:w="90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9"/>
                <w:szCs w:val="19"/>
              </w:rPr>
              <w:t>核减后招聘人数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tblHeader/>
        </w:trPr>
        <w:tc>
          <w:tcPr>
            <w:tcW w:w="7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9"/>
                <w:szCs w:val="19"/>
              </w:rPr>
              <w:t>名 称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9"/>
                <w:szCs w:val="19"/>
              </w:rPr>
              <w:t>经费来源</w:t>
            </w:r>
          </w:p>
        </w:tc>
        <w:tc>
          <w:tcPr>
            <w:tcW w:w="7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9"/>
                <w:szCs w:val="19"/>
              </w:rPr>
              <w:t>学历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9"/>
                <w:szCs w:val="19"/>
              </w:rPr>
              <w:t>专业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9"/>
                <w:szCs w:val="19"/>
              </w:rPr>
              <w:t>其他条件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9"/>
                <w:szCs w:val="19"/>
              </w:rPr>
              <w:t>招聘对象</w:t>
            </w:r>
          </w:p>
        </w:tc>
        <w:tc>
          <w:tcPr>
            <w:tcW w:w="12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</w:trPr>
        <w:tc>
          <w:tcPr>
            <w:tcW w:w="7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市城乡建设局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市自来水有限公司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国有企业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水质检测化验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1:3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本科及以上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专业不限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有一年及以上水质化验、检测、分析工作经历，有三级及以上化学检验工、水质检验工、分析工职业资格证书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人员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7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计算机软件维护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1:3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研究生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计算机系统结构、计算机应用技术、系统工程、计算机技术、计算机软件与理论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不限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bookmarkStart w:id="0" w:name="_GoBack"/>
      <w:r>
        <w:t> </w:t>
      </w:r>
    </w:p>
    <w:bookmarkEnd w:id="0"/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2017-08-16T05:31:16Z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