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13" w:rsidRPr="00285FED" w:rsidRDefault="00026F13" w:rsidP="00026F13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85FED">
        <w:rPr>
          <w:rFonts w:ascii="方正小标宋简体" w:eastAsia="方正小标宋简体" w:hint="eastAsia"/>
          <w:color w:val="000000"/>
          <w:sz w:val="44"/>
          <w:szCs w:val="44"/>
        </w:rPr>
        <w:t>2017年湖南省考试录用法院工作人员计划职位表</w:t>
      </w:r>
    </w:p>
    <w:p w:rsidR="00026F13" w:rsidRPr="00285FED" w:rsidRDefault="00026F13" w:rsidP="00026F13">
      <w:pPr>
        <w:spacing w:line="440" w:lineRule="exact"/>
        <w:rPr>
          <w:rFonts w:ascii="方正楷体简体" w:eastAsia="方正楷体简体" w:hint="eastAsia"/>
          <w:color w:val="000000"/>
          <w:sz w:val="28"/>
          <w:szCs w:val="28"/>
        </w:rPr>
      </w:pPr>
      <w:r w:rsidRPr="00285FED">
        <w:rPr>
          <w:rFonts w:ascii="方正楷体简体" w:eastAsia="方正楷体简体" w:hint="eastAsia"/>
          <w:color w:val="000000"/>
          <w:sz w:val="28"/>
          <w:szCs w:val="28"/>
        </w:rPr>
        <w:t>说明：1、根据《新录用公务员任职定级规定》，新录用人员在机关最低服务年限为五年(含试用期)；</w:t>
      </w:r>
    </w:p>
    <w:p w:rsidR="00026F13" w:rsidRDefault="00026F13" w:rsidP="00026F13">
      <w:pPr>
        <w:spacing w:line="440" w:lineRule="exact"/>
        <w:ind w:leftChars="400" w:left="1246" w:hangingChars="145" w:hanging="406"/>
        <w:rPr>
          <w:rFonts w:eastAsia="方正仿宋简体" w:hint="eastAsia"/>
          <w:color w:val="000000"/>
          <w:sz w:val="32"/>
          <w:szCs w:val="32"/>
        </w:rPr>
      </w:pPr>
      <w:r w:rsidRPr="00285FED">
        <w:rPr>
          <w:rFonts w:ascii="方正楷体简体" w:eastAsia="方正楷体简体" w:hint="eastAsia"/>
          <w:color w:val="000000"/>
          <w:sz w:val="28"/>
          <w:szCs w:val="28"/>
        </w:rPr>
        <w:t>2、司法警察、司法特警职位按公务员录用体检特殊标准（测裸眼视力）执行（其中司法特警职位男性要求身高在175厘米及以上，女性要求身高在165厘米及以上），其他职位按公务员录用体检通用标准执行。</w:t>
      </w:r>
    </w:p>
    <w:tbl>
      <w:tblPr>
        <w:tblW w:w="140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0"/>
        <w:gridCol w:w="639"/>
        <w:gridCol w:w="1666"/>
        <w:gridCol w:w="1475"/>
        <w:gridCol w:w="720"/>
        <w:gridCol w:w="555"/>
        <w:gridCol w:w="1070"/>
        <w:gridCol w:w="686"/>
        <w:gridCol w:w="1848"/>
        <w:gridCol w:w="588"/>
        <w:gridCol w:w="1428"/>
        <w:gridCol w:w="2855"/>
      </w:tblGrid>
      <w:tr w:rsidR="00026F13" w:rsidTr="00013D09">
        <w:trPr>
          <w:trHeight w:val="454"/>
          <w:tblHeader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区分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单位名称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职位名称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招录计划数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性别要求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最低学历</w:t>
            </w:r>
          </w:p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（学位）要求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最高年龄要求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专业要求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地域</w:t>
            </w:r>
          </w:p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要求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职业资格证书等要求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int="eastAsia"/>
                <w:color w:val="000000"/>
                <w:sz w:val="18"/>
                <w:szCs w:val="18"/>
              </w:rPr>
            </w:pPr>
            <w:r w:rsidRPr="00280AAA">
              <w:rPr>
                <w:rFonts w:ascii="方正黑体简体" w:eastAsia="方正黑体简体" w:hint="eastAsia"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省高院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省高院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长沙铁路运输法院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衡阳铁路运输法院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衡阳铁路运输法院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司法特警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Style w:val="font71"/>
                <w:rFonts w:eastAsia="方正仿宋简体" w:hint="default"/>
                <w:lang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法学类、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公安学类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衡阳铁路运输法院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工商管理类、经济学类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怀化铁路运输法院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省直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怀化铁路运输法院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68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跨市州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跨市州职位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法医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bCs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临床医学类；法医学类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bCs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bCs/>
                <w:sz w:val="18"/>
                <w:szCs w:val="18"/>
              </w:rPr>
            </w:pP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益阳中院</w:t>
            </w: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人，常德安乡县法院</w:t>
            </w: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bCs/>
                <w:kern w:val="0"/>
                <w:sz w:val="18"/>
                <w:szCs w:val="18"/>
                <w:lang/>
              </w:rPr>
              <w:t>人，在益阳进行面试和选岗。</w:t>
            </w:r>
          </w:p>
        </w:tc>
      </w:tr>
      <w:tr w:rsidR="00026F13" w:rsidTr="00013D09">
        <w:trPr>
          <w:trHeight w:val="70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天心区法院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人，开福区法院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人，长沙县法院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人，望城区法院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人，宁乡县法院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96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天心区法院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人，岳麓区法院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人，雨花区法院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人，望城区法院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人，宁乡县法院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开福区法院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人，宁乡县法院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长沙市岳麓区法院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电子通信计算机类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宁乡县法院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宣传干事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新闻传播学类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长沙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宁乡县法院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公安学类、体育类、法律实务类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石峰区法院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人，醴陵市法院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人，攸县法院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茶陵县法院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炎陵县法院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荷塘区法院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人，株洲县法院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人，醴陵市法院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人，攸县法院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芦淞区法院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茶陵县法院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株洲中院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法学类、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公安学类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株洲市芦淞区法院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醴陵市法院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中国语言文学类、法学类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25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炎陵县法院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限株洲户籍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攸县法院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株洲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炎陵县法院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经济学类、工商管理类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人，湘乡市法院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雨湖区法院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人，岳塘区法院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湘乡市法院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人，韶山市法院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雨湖区法院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人，岳塘区法院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湘潭市雨湖区法院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图书档案管理类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湘潭市雨湖区法院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经济学类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湘潭市雨湖区法院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人，衡东法院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人，衡南法院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人，雁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峰法院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人，石鼓法院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蒸湘法院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人，南岳法院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珠晖法院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衡山法院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人，祁东法院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人，衡东法院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人，衡南法院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人，雁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峰法院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人，石鼓法院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蒸湘法院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人，衡阳县法院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人，常宁法院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人，耒阳法院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人，要求曾在法院系统担任聘任制法官助理或书记员满一年以上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38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祁东县法院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衡东县法院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体育学类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耒阳市法院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珠晖区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综合调研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要求在省一级报刊杂志发表过调研类文章。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珠晖区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计算机科学与技术、网络工程、软件工程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珠晖区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会计学、财务管理、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审计学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70C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70C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常宁市法院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教育学类、中文类、图书管理类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70C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衡阳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耒阳市法院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计算机科学与技术、网络工程、软件工程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70C0"/>
                <w:sz w:val="18"/>
                <w:szCs w:val="18"/>
              </w:rPr>
            </w:pP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双清区法院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名；大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祥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北塔区法院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名；新邵县法院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邵东县法院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名；洞口县法院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武冈市法院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名；隆回县法院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绥宁县法院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名；城步县法院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26F13" w:rsidTr="00013D09">
        <w:trPr>
          <w:trHeight w:val="42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双清区法院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名；大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祥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北塔区法院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名；新邵县法院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邵东县法院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名；洞口县法院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武冈市法院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52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名；隆回县法院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绥宁县法院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名；城步县法院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邵阳中院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司法特警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公安学类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洞口县法院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汉语言文学；法学类；政治学类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洞口县法院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图书档案管理类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洞口县法院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审计学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洞口县法院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计算机科学与技术；网络工程；信息安全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城步苗族自治县法院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邵阳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新宁县法院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限邵阳户籍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岳阳楼区法院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人，华容县法院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人，湘阴县法院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汩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罗市法院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人，君山区法院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人，云溪法院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平江县法院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人，临湘法院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岳阳楼区法院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人，屈原管理区法院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汩罗法院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人，君山区法院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人，湘阴县法院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人，云溪区法院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人，临湘市法院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65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刑法学、民商法学、诉讼法学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君山区法院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平江县法院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岳阳楼区法院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云溪区法院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会计学，财务管理，财务会计教育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湘阴县法院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人，华容县法院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人，临湘市法院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汉语言文学，秘书学，应用语言学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湘阴县法院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平江县法院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454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图书档案管理类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湘阴县法院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人，岳阳县法院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司法特警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临湘市法院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岳阳法院系统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司法特警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体育教育、运动训练、武术与民族传统体育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君山区法院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常德市中院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名、汉寿县法院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武陵区法院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名、鼎城区法院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名、澧县法院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名、临澧县法院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名、石门县法院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名、桃源县法院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常德市中院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名、武陵区法院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名、汉寿县法院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名、津市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市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鼎城区法院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名、澧县法院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名、临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澧县法院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名、安乡县法院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名、石门县法院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名、桃源县法院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79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法学类；公安学类；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体育学类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临澧县法院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名、安乡县法院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名、桃源县法院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图书馆学；档案学；信息资源管理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常德市中院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名、临澧县法院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临澧县法院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名、石门县法院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安乡县法院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中国语言文学类；新闻传播学类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津市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市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中国语言文学类；公共管理类；法学类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经济学类；工商管理类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临澧县法院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名、津市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市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计算机科学与技术；软件工程；网络工程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汉寿县法院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名、津市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市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名。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桃源县法院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法学类；公安学类；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体育学类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桃源县法院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新闻传播学类；法学类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常德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石门县法院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图书档案管理；公共事务管理；行政管理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赫山法院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人；资阳法院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人；沅江法院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人；桃江法院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南县法院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,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安化法院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安化法院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中院法院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赫山法院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人；资阳法院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人；沅江法院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人；桃江法院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93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南县法院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人；大通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湖法院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人；安化法院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中国语言文学类、新闻传播学类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2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人；南县法院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人；桃江法院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图书档案管理类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2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赫山法院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人；南县法院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2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赫山法院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人；南县法院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人；桃江法院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会计学、财务管理、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审计学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2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赫山法院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人；资阳法院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人；桃江法院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桃江县法院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桃江县法院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公安学类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益阳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安化县法院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人、冷水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人、新化县法院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人、冷水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人、新化县法院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涟源市法院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涟源市法院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双峰县法院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双峰县法院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107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新化县法院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法学类、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公安学类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新化县法院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新化县法院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娄底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新化县法院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图书档案管理类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硕士研究生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北湖法院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苏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仙法院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人；桂阳法院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宜章法院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人；嘉禾法院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永兴法院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汝城院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汝城法院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资兴法院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临武法院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桂东法院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人；安仁法院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苏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仙法院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人；桂阳法院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宜章法院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永兴法院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汝城法院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郴州市法院系统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人；临武法院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郴州市法院系统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经济和管理学大类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苏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仙法院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人；嘉禾法院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临武法院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人；汝城法院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桂东法院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123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郴州市法院系统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人；汝城法院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安仁法院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郴州市法院系统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安仁法院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郴州市法院系统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汝城法院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br/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桂东法院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冷水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滩法院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人，道县法院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人，东安法院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8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人，双牌法院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祁阳法院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,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江永法院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人，江华法院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宁远法院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人，蓝山法院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人，新田法院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冷水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滩法院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人，道县法院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人，东安法院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人，双牌法院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江永法院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人，蓝山法院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人，江华法院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人，宁远法院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人，新田法院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人，祁阳法院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江永县法院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会计学；财务管理；金融学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江华瑶族自治县法院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审计学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江华瑶族自治县法院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祁阳县法院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会计学；财务管理；</w:t>
            </w: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审计学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永州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新田县法院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电子信息工程；计算机科学与技术；网络工程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怀化中院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人；辰溪法院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人；溆浦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人；洪江市法院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人；中方法院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137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靖州法院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人；通道法院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人；新晃县法院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人；会同法院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人；沅陵法院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人；麻阳法院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怀化中院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人；辰溪法院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人；洪江市法院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139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靖州法院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人；沅陵县法院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9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人；麻阳法院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人；会同法院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人。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proofErr w:type="gramStart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中方县</w:t>
            </w:r>
            <w:proofErr w:type="gramEnd"/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洪江市法院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会同县法院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辰溪县法院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中文类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辰溪县法院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辰溪县法院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溆浦县法院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沅陵县法院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沅陵县法院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149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沅陵县法院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沅陵县法院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靖州苗族侗族自治县法院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152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靖州苗族侗族自治县法院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中国语言文学类、法学类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麻阳苗族自治县法院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麻阳苗族自治县法院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通道侗族自治县法院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综合文秘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通道侗族自治县法院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通道侗族自治县法院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司法警察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怀化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通道侗族自治县法院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司法特警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159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吉首市法院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泸溪县法院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人；保靖县法院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花垣县法院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永顺县法院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古丈县法院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泸溪县法院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lastRenderedPageBreak/>
              <w:t>165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古丈县法院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人；永顺县法院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花垣县法院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凤凰县法院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人；永顺县法院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龙山县法院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169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7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(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学士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法学大类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龙山县法院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档案管理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图书档案管理类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吉首市法院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人；泸溪法院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凤凰县法院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司法特警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法律实务类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限湘西自治州户籍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湘西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凤凰县法院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财会人员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专科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会计、审计、财务管理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会计从业资格证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A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永定区法院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法官助理（执行）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慈利法院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人；桑植法院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张家界法院系统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法官助理（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法学类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法律职业资格证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C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证及以上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慈利法院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人；桑植法院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2</w:t>
            </w: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人</w:t>
            </w:r>
          </w:p>
        </w:tc>
      </w:tr>
      <w:tr w:rsidR="00026F13" w:rsidTr="00013D09">
        <w:trPr>
          <w:trHeight w:val="39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176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张家界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永定区法院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计算机人员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本科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widowControl/>
              <w:spacing w:line="240" w:lineRule="exact"/>
              <w:jc w:val="center"/>
              <w:textAlignment w:val="center"/>
              <w:rPr>
                <w:rFonts w:eastAsia="方正仿宋简体"/>
                <w:color w:val="000000"/>
                <w:sz w:val="18"/>
                <w:szCs w:val="18"/>
              </w:rPr>
            </w:pPr>
            <w:r w:rsidRPr="00280AAA">
              <w:rPr>
                <w:rFonts w:eastAsia="方正仿宋简体"/>
                <w:color w:val="000000"/>
                <w:kern w:val="0"/>
                <w:sz w:val="18"/>
                <w:szCs w:val="18"/>
                <w:lang/>
              </w:rPr>
              <w:t>电子、通信、计算机类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F13" w:rsidRPr="00280AAA" w:rsidRDefault="00026F13" w:rsidP="00013D09">
            <w:pPr>
              <w:spacing w:line="240" w:lineRule="exact"/>
              <w:jc w:val="center"/>
              <w:rPr>
                <w:rFonts w:eastAsia="方正仿宋简体"/>
                <w:color w:val="000000"/>
                <w:sz w:val="18"/>
                <w:szCs w:val="18"/>
              </w:rPr>
            </w:pPr>
          </w:p>
        </w:tc>
      </w:tr>
    </w:tbl>
    <w:p w:rsidR="00026F13" w:rsidRDefault="00026F13" w:rsidP="00026F13">
      <w:pPr>
        <w:spacing w:line="600" w:lineRule="exact"/>
        <w:rPr>
          <w:rFonts w:eastAsia="方正仿宋简体"/>
          <w:color w:val="000000"/>
          <w:sz w:val="32"/>
          <w:szCs w:val="32"/>
        </w:rPr>
      </w:pPr>
    </w:p>
    <w:p w:rsidR="008C5524" w:rsidRDefault="00026F13" w:rsidP="00026F13">
      <w:r>
        <w:rPr>
          <w:rFonts w:eastAsia="方正仿宋简体"/>
          <w:color w:val="000000"/>
          <w:sz w:val="32"/>
          <w:szCs w:val="32"/>
        </w:rPr>
        <w:br w:type="page"/>
      </w:r>
    </w:p>
    <w:sectPr w:rsidR="008C5524" w:rsidSect="00026F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338" w:rsidRDefault="00F62338" w:rsidP="00026F13">
      <w:r>
        <w:separator/>
      </w:r>
    </w:p>
  </w:endnote>
  <w:endnote w:type="continuationSeparator" w:id="0">
    <w:p w:rsidR="00F62338" w:rsidRDefault="00F62338" w:rsidP="00026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338" w:rsidRDefault="00F62338" w:rsidP="00026F13">
      <w:r>
        <w:separator/>
      </w:r>
    </w:p>
  </w:footnote>
  <w:footnote w:type="continuationSeparator" w:id="0">
    <w:p w:rsidR="00F62338" w:rsidRDefault="00F62338" w:rsidP="00026F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3"/>
      <w:numFmt w:val="decimal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3"/>
      <w:numFmt w:val="decimal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3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abstractNum w:abstractNumId="4">
    <w:nsid w:val="0000000D"/>
    <w:multiLevelType w:val="singleLevel"/>
    <w:tmpl w:val="0000000D"/>
    <w:lvl w:ilvl="0">
      <w:start w:val="1"/>
      <w:numFmt w:val="decimal"/>
      <w:suff w:val="nothing"/>
      <w:lvlText w:val="%1、"/>
      <w:lvlJc w:val="left"/>
    </w:lvl>
  </w:abstractNum>
  <w:abstractNum w:abstractNumId="5">
    <w:nsid w:val="0000000E"/>
    <w:multiLevelType w:val="singleLevel"/>
    <w:tmpl w:val="0000000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F1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26F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5529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338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026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6F13"/>
    <w:rPr>
      <w:sz w:val="18"/>
      <w:szCs w:val="18"/>
    </w:rPr>
  </w:style>
  <w:style w:type="paragraph" w:styleId="a4">
    <w:name w:val="footer"/>
    <w:basedOn w:val="a"/>
    <w:link w:val="Char0"/>
    <w:unhideWhenUsed/>
    <w:rsid w:val="00026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6F13"/>
    <w:rPr>
      <w:sz w:val="18"/>
      <w:szCs w:val="18"/>
    </w:rPr>
  </w:style>
  <w:style w:type="character" w:styleId="a5">
    <w:name w:val="page number"/>
    <w:basedOn w:val="a0"/>
    <w:rsid w:val="00026F13"/>
  </w:style>
  <w:style w:type="paragraph" w:styleId="a6">
    <w:name w:val="Balloon Text"/>
    <w:basedOn w:val="a"/>
    <w:link w:val="Char1"/>
    <w:rsid w:val="00026F13"/>
    <w:rPr>
      <w:sz w:val="18"/>
      <w:szCs w:val="18"/>
    </w:rPr>
  </w:style>
  <w:style w:type="character" w:customStyle="1" w:styleId="Char1">
    <w:name w:val="批注框文本 Char"/>
    <w:basedOn w:val="a0"/>
    <w:link w:val="a6"/>
    <w:rsid w:val="00026F1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qFormat/>
    <w:rsid w:val="00026F13"/>
    <w:pPr>
      <w:ind w:firstLineChars="200" w:firstLine="420"/>
    </w:pPr>
    <w:rPr>
      <w:rFonts w:ascii="Calibri" w:hAnsi="Calibri"/>
      <w:szCs w:val="22"/>
    </w:rPr>
  </w:style>
  <w:style w:type="paragraph" w:styleId="a8">
    <w:name w:val="Body Text Indent"/>
    <w:basedOn w:val="a"/>
    <w:link w:val="Char2"/>
    <w:rsid w:val="00026F13"/>
    <w:pPr>
      <w:ind w:firstLine="630"/>
    </w:pPr>
    <w:rPr>
      <w:rFonts w:eastAsia="仿宋_GB2312"/>
      <w:sz w:val="32"/>
    </w:rPr>
  </w:style>
  <w:style w:type="character" w:customStyle="1" w:styleId="Char2">
    <w:name w:val="正文文本缩进 Char"/>
    <w:basedOn w:val="a0"/>
    <w:link w:val="a8"/>
    <w:rsid w:val="00026F13"/>
    <w:rPr>
      <w:rFonts w:ascii="Times New Roman" w:eastAsia="仿宋_GB2312" w:hAnsi="Times New Roman" w:cs="Times New Roman"/>
      <w:sz w:val="32"/>
      <w:szCs w:val="24"/>
    </w:rPr>
  </w:style>
  <w:style w:type="table" w:styleId="a9">
    <w:name w:val="Table Grid"/>
    <w:basedOn w:val="a1"/>
    <w:rsid w:val="00026F1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Char3"/>
    <w:rsid w:val="00026F13"/>
    <w:pPr>
      <w:spacing w:after="120"/>
    </w:pPr>
  </w:style>
  <w:style w:type="character" w:customStyle="1" w:styleId="Char3">
    <w:name w:val="正文文本 Char"/>
    <w:basedOn w:val="a0"/>
    <w:link w:val="aa"/>
    <w:rsid w:val="00026F13"/>
    <w:rPr>
      <w:rFonts w:ascii="Times New Roman" w:eastAsia="宋体" w:hAnsi="Times New Roman" w:cs="Times New Roman"/>
      <w:szCs w:val="24"/>
    </w:rPr>
  </w:style>
  <w:style w:type="character" w:styleId="ab">
    <w:name w:val="Hyperlink"/>
    <w:basedOn w:val="a0"/>
    <w:rsid w:val="00026F13"/>
    <w:rPr>
      <w:color w:val="0000FF"/>
      <w:u w:val="single"/>
    </w:rPr>
  </w:style>
  <w:style w:type="character" w:customStyle="1" w:styleId="font01">
    <w:name w:val="font01"/>
    <w:basedOn w:val="a0"/>
    <w:rsid w:val="00026F13"/>
    <w:rPr>
      <w:rFonts w:ascii="仿宋_GB2312" w:eastAsia="仿宋_GB2312" w:cs="仿宋_GB2312" w:hint="eastAsia"/>
      <w:i w:val="0"/>
      <w:color w:val="000000"/>
      <w:sz w:val="28"/>
      <w:szCs w:val="28"/>
      <w:u w:val="none"/>
    </w:rPr>
  </w:style>
  <w:style w:type="paragraph" w:styleId="ac">
    <w:name w:val="Normal (Web)"/>
    <w:basedOn w:val="a"/>
    <w:rsid w:val="00026F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71">
    <w:name w:val="font71"/>
    <w:basedOn w:val="a0"/>
    <w:rsid w:val="00026F13"/>
    <w:rPr>
      <w:rFonts w:ascii="宋体" w:eastAsia="宋体" w:hAnsi="宋体" w:cs="宋体" w:hint="eastAsia"/>
      <w:i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1587</Words>
  <Characters>9051</Characters>
  <Application>Microsoft Office Word</Application>
  <DocSecurity>0</DocSecurity>
  <Lines>75</Lines>
  <Paragraphs>21</Paragraphs>
  <ScaleCrop>false</ScaleCrop>
  <Company>微软中国</Company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2017-03-10T07:46:00Z</dcterms:created>
  <dcterms:modified xsi:type="dcterms:W3CDTF">2017-03-10T07:47:00Z</dcterms:modified>
</cp:coreProperties>
</file>