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78" w:type="dxa"/>
        <w:tblInd w:w="93" w:type="dxa"/>
        <w:shd w:val="clear" w:color="auto" w:fill="F7F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6"/>
        <w:gridCol w:w="1800"/>
        <w:gridCol w:w="1029"/>
        <w:gridCol w:w="888"/>
        <w:gridCol w:w="821"/>
        <w:gridCol w:w="971"/>
        <w:gridCol w:w="1103"/>
        <w:gridCol w:w="1200"/>
      </w:tblGrid>
      <w:tr w:rsidR="00197F78" w:rsidRPr="00197F78" w:rsidTr="00197F78">
        <w:trPr>
          <w:trHeight w:val="1095"/>
        </w:trPr>
        <w:tc>
          <w:tcPr>
            <w:tcW w:w="85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7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汉寿县林业局所属事业单位公开招聘高层次人才岗位条件及数量表</w:t>
            </w:r>
          </w:p>
        </w:tc>
      </w:tr>
      <w:tr w:rsidR="00197F78" w:rsidRPr="00197F78" w:rsidTr="00197F78">
        <w:trPr>
          <w:trHeight w:val="1140"/>
        </w:trPr>
        <w:tc>
          <w:tcPr>
            <w:tcW w:w="2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409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岗位具体条件</w:t>
            </w:r>
          </w:p>
        </w:tc>
      </w:tr>
      <w:tr w:rsidR="00197F78" w:rsidRPr="00197F78" w:rsidTr="00197F78">
        <w:trPr>
          <w:trHeight w:val="114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招聘</w:t>
            </w: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br/>
              <w:t>单位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left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单位情况简介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出生</w:t>
            </w: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br/>
              <w:t>年月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最低学历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黑体" w:eastAsia="黑体" w:hAnsi="inherit" w:cs="宋体" w:hint="eastAsia"/>
                <w:color w:val="000000"/>
                <w:kern w:val="0"/>
                <w:sz w:val="22"/>
              </w:rPr>
              <w:t>其他条件</w:t>
            </w:r>
          </w:p>
        </w:tc>
      </w:tr>
      <w:tr w:rsidR="00197F78" w:rsidRPr="00197F78" w:rsidTr="00197F78">
        <w:trPr>
          <w:trHeight w:val="1485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汉寿县鹿溪森林公园管理处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left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汉寿县鹿溪森林公园管理处是汉寿县林业局</w:t>
            </w:r>
            <w:proofErr w:type="gramStart"/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下属副</w:t>
            </w:r>
            <w:proofErr w:type="gramEnd"/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科级全额拨款事业单位。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1986年10月1日以后出生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全日制硕士研究生（第一学历须为全日制本科学历）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森林经理学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97F78" w:rsidRPr="00197F78" w:rsidTr="00197F78">
        <w:trPr>
          <w:trHeight w:val="1305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汉寿县</w:t>
            </w: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森林</w:t>
            </w: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工作站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left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汉寿县森林工作站是汉寿县林业局下属正股级全额拨款事业单位。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DFF"/>
            <w:vAlign w:val="center"/>
            <w:hideMark/>
          </w:tcPr>
          <w:p w:rsidR="00197F78" w:rsidRPr="00197F78" w:rsidRDefault="00197F78" w:rsidP="00197F78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7FDFF"/>
            <w:vAlign w:val="center"/>
            <w:hideMark/>
          </w:tcPr>
          <w:p w:rsidR="00197F78" w:rsidRPr="00197F78" w:rsidRDefault="00197F78" w:rsidP="00197F78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动物学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97F78" w:rsidRPr="00197F78" w:rsidTr="00197F78">
        <w:trPr>
          <w:trHeight w:val="1395"/>
        </w:trPr>
        <w:tc>
          <w:tcPr>
            <w:tcW w:w="35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97F78" w:rsidRPr="00197F78" w:rsidTr="00197F78">
        <w:trPr>
          <w:trHeight w:val="285"/>
        </w:trPr>
        <w:tc>
          <w:tcPr>
            <w:tcW w:w="85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F78" w:rsidRPr="00197F78" w:rsidRDefault="00197F78" w:rsidP="00197F78">
            <w:pPr>
              <w:widowControl/>
              <w:jc w:val="left"/>
              <w:textAlignment w:val="center"/>
              <w:rPr>
                <w:rFonts w:ascii="inherit" w:eastAsia="宋体" w:hAnsi="inherit" w:cs="宋体"/>
                <w:color w:val="333333"/>
                <w:kern w:val="0"/>
                <w:sz w:val="16"/>
                <w:szCs w:val="16"/>
              </w:rPr>
            </w:pPr>
            <w:r w:rsidRPr="00197F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注：专业名称主要参考《2016年湖南省考试录用公务员专业指导目录》。</w:t>
            </w:r>
          </w:p>
        </w:tc>
      </w:tr>
    </w:tbl>
    <w:p w:rsidR="00197F78" w:rsidRPr="00197F78" w:rsidRDefault="00197F78" w:rsidP="00197F78">
      <w:pPr>
        <w:widowControl/>
        <w:shd w:val="clear" w:color="auto" w:fill="F7FDFF"/>
        <w:spacing w:line="560" w:lineRule="atLeast"/>
        <w:jc w:val="center"/>
        <w:rPr>
          <w:rFonts w:ascii="Verdana" w:eastAsia="宋体" w:hAnsi="Verdana" w:cs="宋体"/>
          <w:color w:val="333333"/>
          <w:kern w:val="0"/>
          <w:sz w:val="16"/>
          <w:szCs w:val="16"/>
        </w:rPr>
      </w:pPr>
      <w:r w:rsidRPr="00197F78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</w:p>
    <w:p w:rsidR="00197F78" w:rsidRPr="00197F78" w:rsidRDefault="00197F78" w:rsidP="00197F78">
      <w:pPr>
        <w:widowControl/>
        <w:shd w:val="clear" w:color="auto" w:fill="F7FDFF"/>
        <w:spacing w:line="560" w:lineRule="atLeast"/>
        <w:jc w:val="center"/>
        <w:rPr>
          <w:rFonts w:ascii="Verdana" w:eastAsia="宋体" w:hAnsi="Verdana" w:cs="宋体"/>
          <w:color w:val="333333"/>
          <w:kern w:val="0"/>
          <w:sz w:val="16"/>
          <w:szCs w:val="16"/>
        </w:rPr>
      </w:pPr>
      <w:r w:rsidRPr="00197F78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</w:p>
    <w:p w:rsidR="00DB2D55" w:rsidRPr="00197F78" w:rsidRDefault="00DB2D55"/>
    <w:sectPr w:rsidR="00DB2D55" w:rsidRPr="00197F78" w:rsidSect="00DB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7F78"/>
    <w:rsid w:val="00197F78"/>
    <w:rsid w:val="00DB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2016-10-28T07:28:00Z</dcterms:created>
  <dcterms:modified xsi:type="dcterms:W3CDTF">2016-10-28T07:28:00Z</dcterms:modified>
</cp:coreProperties>
</file>