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6" w:beforeAutospacing="0" w:after="300" w:afterAutospacing="0" w:line="420" w:lineRule="atLeast"/>
        <w:ind w:left="0" w:right="0"/>
        <w:jc w:val="center"/>
        <w:rPr>
          <w:rFonts w:hint="eastAsia" w:ascii="黑体" w:hAnsi="黑体" w:eastAsia="黑体" w:cs="黑体"/>
          <w:sz w:val="48"/>
          <w:szCs w:val="48"/>
        </w:rPr>
      </w:pPr>
      <w:bookmarkStart w:id="0" w:name="_GoBack"/>
      <w:bookmarkEnd w:id="0"/>
      <w:r>
        <w:rPr>
          <w:rStyle w:val="4"/>
          <w:rFonts w:hint="eastAsia" w:ascii="黑体" w:hAnsi="黑体" w:eastAsia="黑体" w:cs="黑体"/>
          <w:color w:val="000000"/>
          <w:sz w:val="48"/>
          <w:szCs w:val="48"/>
          <w:u w:val="none"/>
          <w:shd w:val="clear" w:fill="FFFFFF"/>
        </w:rPr>
        <w:t>专业</w:t>
      </w:r>
      <w:r>
        <w:rPr>
          <w:rStyle w:val="4"/>
          <w:rFonts w:hint="eastAsia" w:ascii="黑体" w:hAnsi="黑体" w:eastAsia="黑体" w:cs="黑体"/>
          <w:color w:val="000000"/>
          <w:sz w:val="48"/>
          <w:szCs w:val="48"/>
          <w:u w:val="none"/>
          <w:shd w:val="clear" w:fill="FFFFFF"/>
          <w:lang w:eastAsia="zh-CN"/>
        </w:rPr>
        <w:t>类别</w:t>
      </w:r>
      <w:r>
        <w:rPr>
          <w:rStyle w:val="4"/>
          <w:rFonts w:hint="eastAsia" w:ascii="黑体" w:hAnsi="黑体" w:eastAsia="黑体" w:cs="黑体"/>
          <w:color w:val="000000"/>
          <w:sz w:val="48"/>
          <w:szCs w:val="48"/>
          <w:u w:val="none"/>
          <w:shd w:val="clear" w:fill="FFFFFF"/>
        </w:rPr>
        <w:t>参考目录</w:t>
      </w:r>
      <w:r>
        <w:rPr>
          <w:rStyle w:val="4"/>
          <w:rFonts w:hint="eastAsia" w:ascii="黑体" w:hAnsi="黑体" w:eastAsia="黑体" w:cs="黑体"/>
          <w:color w:val="000000"/>
          <w:sz w:val="48"/>
          <w:szCs w:val="48"/>
          <w:u w:val="none"/>
          <w:shd w:val="clear" w:fill="FFFFFF"/>
        </w:rPr>
        <w:br w:type="textWrapping"/>
      </w:r>
    </w:p>
    <w:tbl>
      <w:tblPr>
        <w:tblStyle w:val="7"/>
        <w:tblW w:w="11999" w:type="dxa"/>
        <w:jc w:val="center"/>
        <w:tblInd w:w="5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414"/>
        <w:gridCol w:w="3630"/>
        <w:gridCol w:w="53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61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Verdana" w:hAnsi="Verdana" w:cs="Verdana"/>
                <w:color w:val="auto"/>
                <w:sz w:val="30"/>
                <w:szCs w:val="30"/>
              </w:rPr>
            </w:pPr>
            <w:r>
              <w:rPr>
                <w:rStyle w:val="4"/>
                <w:rFonts w:hint="default" w:ascii="Verdana" w:hAnsi="Verdana" w:eastAsia="宋体" w:cs="Verdana"/>
                <w:color w:val="auto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41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auto"/>
                <w:sz w:val="30"/>
                <w:szCs w:val="30"/>
              </w:rPr>
            </w:pPr>
            <w:r>
              <w:rPr>
                <w:rStyle w:val="4"/>
                <w:rFonts w:hint="default" w:ascii="Verdana" w:hAnsi="Verdana" w:eastAsia="宋体" w:cs="Verdana"/>
                <w:color w:val="auto"/>
                <w:kern w:val="0"/>
                <w:sz w:val="30"/>
                <w:szCs w:val="30"/>
                <w:lang w:val="en-US" w:eastAsia="zh-CN" w:bidi="ar"/>
              </w:rPr>
              <w:t>学历层次专业专业大类</w:t>
            </w:r>
          </w:p>
        </w:tc>
        <w:tc>
          <w:tcPr>
            <w:tcW w:w="363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auto"/>
                <w:sz w:val="30"/>
                <w:szCs w:val="30"/>
              </w:rPr>
            </w:pPr>
            <w:r>
              <w:rPr>
                <w:rStyle w:val="4"/>
                <w:rFonts w:hint="default" w:ascii="Verdana" w:hAnsi="Verdana" w:eastAsia="宋体" w:cs="Verdana"/>
                <w:color w:val="auto"/>
                <w:kern w:val="0"/>
                <w:sz w:val="30"/>
                <w:szCs w:val="30"/>
                <w:lang w:val="en-US" w:eastAsia="zh-CN" w:bidi="ar"/>
              </w:rPr>
              <w:t>研究生</w:t>
            </w:r>
          </w:p>
        </w:tc>
        <w:tc>
          <w:tcPr>
            <w:tcW w:w="533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auto"/>
                <w:sz w:val="30"/>
                <w:szCs w:val="30"/>
              </w:rPr>
            </w:pPr>
            <w:r>
              <w:rPr>
                <w:rStyle w:val="4"/>
                <w:rFonts w:hint="default" w:ascii="Verdana" w:hAnsi="Verdana" w:eastAsia="宋体" w:cs="Verdana"/>
                <w:color w:val="auto"/>
                <w:kern w:val="0"/>
                <w:sz w:val="30"/>
                <w:szCs w:val="3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中文文秘类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史学理论及史学史，考古学及博物馆学，历史地理学，历史文献学（含敦煌学、古文字学），专门史，中国古代史，中国近现代史，世界史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汉语言文学（涉外文秘方向），文物鉴赏与修复，高级文秘，新闻，汉语言文学教育，汉语言文学（师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艺术类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艺术学，音乐学，舞蹈学，戏剧戏曲学，电影学，广播电视艺术学，美术学，设计艺术学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法律类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民事诉讼法，刑事诉讼法，刑事诉讼法学，知识产权法学，国际法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法学，知识产权，监狱学，律师，社会工作（法律实务），知识产权法，民商法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社会政治类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马克思主义哲学，中国哲学，外国哲学，逻辑学，伦理学，美学，宗教学，科学技术哲学，宗教哲学，哲学，政治学理论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与思想政治教育，史学理论及史学史，考古学及博物馆学，历史地理学，历史文献学，专门史，中国古代史，中国近现代史，世界史，图书馆学，情报学，档案学，图书情报与档案管理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经济类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济管理，渔业经济管理，教育经济与管理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工商管理类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管理科学与工程，会计学，企业管理（含：财务管理、市场营销，旅游管理，技术经济及管理，市场营销，人力资源管理）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工业工程，工业设计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商务贸易类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国际贸易学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国际经济与贸易，贸易经济，经济贸易，国际文化贸易，经济与金融，电子商务，物流，物流管理，国际物流，国际商务，商务策划管理，电子商务物流，金融管理，国际市场营销，金融保险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Verdana" w:hAnsi="Verdana" w:cs="Verdana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Verdana"/>
                <w:color w:val="33333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财务财会类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会计学，财政学（含税收学）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财政学，金融学，会计学，财务管理，会计信息技术，财务会计与审计，国际会计，财务会计教育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审计类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审计学，财务会计与审计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计算机（大类）类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计算机系统结构，计算机应用技术，系统工程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计算机科学与技术，电子与计算机工程，空间信息与数字技术，计算机通信工程，计算机，计算机及应用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计算机（软件）类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计算机软件与理论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计算机软件，软件工程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计算机（网络管理）类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网络工程，物联网工程，信息安全，计算机网络工程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环境保护类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环境科学，环境工程，生态学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环境工程，安全工程，水质科学与技术，灾害防治工程，环境科学与工程，环境监察，雷电防护科学与技术，环境科学，生态学，资源环境科学，水土保持与荒漠化防治，农业资源与环境，环境生态工程，环保设备工程，野生动物与自然保护区管理，园林，自然地理与资源环境，大气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化学工程类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化学工程，化学工艺，生物化工，应用化学，工业催化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化学工程与工艺，化学工程与工业生物工程，资源科学与工程，化工与制药，油气加工工程，资源循环科学与工程，能源化学工程，应用化学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eastAsia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农业类</w:t>
            </w:r>
          </w:p>
        </w:tc>
        <w:tc>
          <w:tcPr>
            <w:tcW w:w="3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农业机械化工程，农业水土工程，农业生物环境与能源工程，农业电气化与自动化，作物栽培学与耕作学，作物遗传育种，果树学，蔬菜学，茶学，土壤学，植物营养学，植物病理学，农业昆虫与害虫防治，农药学，农业经济管理，林业经济管理，渔业经济管理，渔业资源与渔政管理，植物资源工程，植物学</w:t>
            </w:r>
          </w:p>
        </w:tc>
        <w:tc>
          <w:tcPr>
            <w:tcW w:w="5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Verdana" w:hAnsi="Verdana" w:cs="Verdana"/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21"/>
                <w:szCs w:val="21"/>
                <w:lang w:val="en-US" w:eastAsia="zh-CN" w:bidi="ar"/>
              </w:rPr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</w:t>
            </w:r>
          </w:p>
        </w:tc>
      </w:tr>
    </w:tbl>
    <w:p/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43D7F"/>
    <w:rsid w:val="03F034A5"/>
    <w:rsid w:val="0A543D7F"/>
    <w:rsid w:val="0A6735BA"/>
    <w:rsid w:val="588C2111"/>
    <w:rsid w:val="66ED7328"/>
    <w:rsid w:val="73AE7F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Hyperlink"/>
    <w:basedOn w:val="3"/>
    <w:qFormat/>
    <w:uiPriority w:val="0"/>
    <w:rPr>
      <w:color w:val="000000"/>
      <w:u w:val="none"/>
    </w:rPr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0">
    <w:name w:val="bds_more3"/>
    <w:basedOn w:val="3"/>
    <w:qFormat/>
    <w:uiPriority w:val="0"/>
  </w:style>
  <w:style w:type="character" w:customStyle="1" w:styleId="11">
    <w:name w:val="bds_more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2016-06-12T00:52:00Z</dcterms:created>
  <dc:creator>Administrator</dc:creator>
  <cp:lastModifiedBy>Administrator</cp:lastModifiedBy>
  <cp:lastPrinted>2016-06-12T02:37:18Z</cp:lastPrinted>
  <dcterms:modified xsi:type="dcterms:W3CDTF">2016-06-12T02:39:33Z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