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widowControl/>
        <w:suppressLineNumbers w:val="0"/>
        <w:shd w:val="clear" w:fill="FFFFFF"/>
        <w:spacing w:before="0" w:beforeAutospacing="0" w:after="0" w:afterAutospacing="0" w:line="600" w:lineRule="atLeast"/>
        <w:ind w:left="0" w:right="0" w:firstLine="627"/>
        <w:jc w:val="left"/>
        <w:rPr>
          <w:rFonts w:hint="eastAsia" w:ascii="Verdana" w:hAnsi="Verdana" w:cs="Verdana"/>
          <w:b w:val="0"/>
          <w:i w:val="0"/>
          <w:caps w:val="0"/>
          <w:color w:val="000000"/>
          <w:spacing w:val="0"/>
          <w:sz w:val="20"/>
          <w:szCs w:val="20"/>
        </w:rPr>
      </w:pPr>
      <w:r>
        <w:rPr>
          <w:rStyle w:val="4"/>
          <w:rFonts w:ascii="黑体" w:hAnsi="宋体" w:eastAsia="黑体" w:cs="黑体"/>
          <w:i w:val="0"/>
          <w:caps w:val="0"/>
          <w:color w:val="000000"/>
          <w:spacing w:val="0"/>
          <w:kern w:val="0"/>
          <w:sz w:val="32"/>
          <w:szCs w:val="32"/>
          <w:shd w:val="clear" w:fill="FFFFFF"/>
          <w:lang w:val="en-US" w:eastAsia="zh-CN" w:bidi="ar"/>
        </w:rPr>
        <w:t>岗位设置及要求</w:t>
      </w:r>
    </w:p>
    <w:tbl>
      <w:tblPr>
        <w:tblpPr w:vertAnchor="text" w:tblpXSpec="left"/>
        <w:tblW w:w="8971"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
      <w:tblGrid>
        <w:gridCol w:w="1889"/>
        <w:gridCol w:w="1246"/>
        <w:gridCol w:w="761"/>
        <w:gridCol w:w="941"/>
        <w:gridCol w:w="4134"/>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fixed"/>
          <w:tblCellMar>
            <w:top w:w="0" w:type="dxa"/>
            <w:left w:w="0" w:type="dxa"/>
            <w:bottom w:w="0" w:type="dxa"/>
            <w:right w:w="0" w:type="dxa"/>
          </w:tblCellMar>
        </w:tblPrEx>
        <w:trPr>
          <w:trHeight w:val="320" w:hRule="atLeast"/>
        </w:trPr>
        <w:tc>
          <w:tcPr>
            <w:tcW w:w="1889" w:type="dxa"/>
            <w:tcBorders>
              <w:top w:val="single" w:color="auto" w:sz="8" w:space="0"/>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ascii="仿宋_GB2312" w:hAnsi="Verdana" w:eastAsia="仿宋_GB2312" w:cs="仿宋_GB2312"/>
                <w:color w:val="000000"/>
                <w:kern w:val="0"/>
                <w:sz w:val="24"/>
                <w:szCs w:val="24"/>
                <w:lang w:val="en-US" w:eastAsia="zh-CN" w:bidi="ar"/>
              </w:rPr>
              <w:t>招聘单位</w:t>
            </w:r>
          </w:p>
        </w:tc>
        <w:tc>
          <w:tcPr>
            <w:tcW w:w="1246"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职位名称</w:t>
            </w:r>
          </w:p>
        </w:tc>
        <w:tc>
          <w:tcPr>
            <w:tcW w:w="76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职数</w:t>
            </w:r>
          </w:p>
        </w:tc>
        <w:tc>
          <w:tcPr>
            <w:tcW w:w="941"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年龄</w:t>
            </w:r>
          </w:p>
        </w:tc>
        <w:tc>
          <w:tcPr>
            <w:tcW w:w="4134" w:type="dxa"/>
            <w:tcBorders>
              <w:top w:val="single" w:color="auto" w:sz="8" w:space="0"/>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职位条件</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2597" w:hRule="atLeast"/>
        </w:trPr>
        <w:tc>
          <w:tcPr>
            <w:tcW w:w="188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乡镇财政所（向坝、桃源、丰溪、泉溪、天宝）</w:t>
            </w:r>
          </w:p>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全额事业</w:t>
            </w:r>
          </w:p>
        </w:tc>
        <w:tc>
          <w:tcPr>
            <w:tcW w:w="124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 </w:t>
            </w:r>
          </w:p>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财务会计</w:t>
            </w:r>
          </w:p>
        </w:tc>
        <w:tc>
          <w:tcPr>
            <w:tcW w:w="76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 </w:t>
            </w:r>
          </w:p>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 </w:t>
            </w:r>
          </w:p>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6</w:t>
            </w:r>
          </w:p>
        </w:tc>
        <w:tc>
          <w:tcPr>
            <w:tcW w:w="941" w:type="dxa"/>
            <w:vMerge w:val="restart"/>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left"/>
            </w:pPr>
            <w:r>
              <w:rPr>
                <w:rFonts w:hint="default" w:ascii="仿宋_GB2312" w:hAnsi="Verdana" w:eastAsia="仿宋_GB2312" w:cs="仿宋_GB2312"/>
                <w:color w:val="000000"/>
                <w:kern w:val="0"/>
                <w:sz w:val="24"/>
                <w:szCs w:val="24"/>
                <w:lang w:val="en-US" w:eastAsia="zh-CN" w:bidi="ar"/>
              </w:rPr>
              <w:t>35岁以下（1981年1月1日以后出生）</w:t>
            </w:r>
          </w:p>
        </w:tc>
        <w:tc>
          <w:tcPr>
            <w:tcW w:w="413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firstLine="480"/>
              <w:jc w:val="left"/>
            </w:pPr>
            <w:r>
              <w:rPr>
                <w:rFonts w:hint="default" w:ascii="仿宋_GB2312" w:hAnsi="Verdana" w:eastAsia="仿宋_GB2312" w:cs="仿宋_GB2312"/>
                <w:color w:val="000000"/>
                <w:kern w:val="0"/>
                <w:sz w:val="24"/>
                <w:szCs w:val="24"/>
                <w:lang w:val="en-US" w:eastAsia="zh-CN" w:bidi="ar"/>
              </w:rPr>
              <w:t> </w:t>
            </w:r>
          </w:p>
          <w:p>
            <w:pPr>
              <w:keepNext w:val="0"/>
              <w:keepLines w:val="0"/>
              <w:widowControl/>
              <w:suppressLineNumbers w:val="0"/>
              <w:spacing w:before="0" w:beforeAutospacing="0" w:after="0" w:afterAutospacing="0" w:line="600" w:lineRule="atLeast"/>
              <w:ind w:left="0" w:right="0" w:firstLine="480"/>
              <w:jc w:val="left"/>
            </w:pPr>
            <w:r>
              <w:rPr>
                <w:rFonts w:hint="default" w:ascii="仿宋_GB2312" w:hAnsi="Verdana" w:eastAsia="仿宋_GB2312" w:cs="仿宋_GB2312"/>
                <w:color w:val="000000"/>
                <w:kern w:val="0"/>
                <w:sz w:val="24"/>
                <w:szCs w:val="24"/>
                <w:lang w:val="en-US" w:eastAsia="zh-CN" w:bidi="ar"/>
              </w:rPr>
              <w:t>具备全日制专科及以上学历且取得会计从业资格证书（其中，财政学类、财务会计学类专业全日制专科及以上学历暂未取得会计从业资格证书的可以报名参加考试，但须在拟聘用后两年内取得会计从业资格证书，否则予以解聘）。</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fixed"/>
          <w:tblCellMar>
            <w:top w:w="0" w:type="dxa"/>
            <w:left w:w="0" w:type="dxa"/>
            <w:bottom w:w="0" w:type="dxa"/>
            <w:right w:w="0" w:type="dxa"/>
          </w:tblCellMar>
        </w:tblPrEx>
        <w:trPr>
          <w:trHeight w:val="1589" w:hRule="atLeast"/>
        </w:trPr>
        <w:tc>
          <w:tcPr>
            <w:tcW w:w="1889" w:type="dxa"/>
            <w:tcBorders>
              <w:top w:val="nil"/>
              <w:left w:val="single" w:color="auto" w:sz="8" w:space="0"/>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县投资评审中心（全额事业）</w:t>
            </w:r>
          </w:p>
        </w:tc>
        <w:tc>
          <w:tcPr>
            <w:tcW w:w="1246"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评审与工程管理</w:t>
            </w:r>
          </w:p>
        </w:tc>
        <w:tc>
          <w:tcPr>
            <w:tcW w:w="761"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 </w:t>
            </w:r>
          </w:p>
          <w:p>
            <w:pPr>
              <w:keepNext w:val="0"/>
              <w:keepLines w:val="0"/>
              <w:widowControl/>
              <w:suppressLineNumbers w:val="0"/>
              <w:spacing w:before="0" w:beforeAutospacing="0" w:after="0" w:afterAutospacing="0" w:line="600" w:lineRule="atLeast"/>
              <w:ind w:left="0" w:right="0"/>
              <w:jc w:val="center"/>
            </w:pPr>
            <w:r>
              <w:rPr>
                <w:rFonts w:hint="default" w:ascii="仿宋_GB2312" w:hAnsi="Verdana" w:eastAsia="仿宋_GB2312" w:cs="仿宋_GB2312"/>
                <w:color w:val="000000"/>
                <w:kern w:val="0"/>
                <w:sz w:val="24"/>
                <w:szCs w:val="24"/>
                <w:lang w:val="en-US" w:eastAsia="zh-CN" w:bidi="ar"/>
              </w:rPr>
              <w:t>2</w:t>
            </w:r>
          </w:p>
        </w:tc>
        <w:tc>
          <w:tcPr>
            <w:tcW w:w="941" w:type="dxa"/>
            <w:vMerge w:val="continue"/>
            <w:tcBorders>
              <w:top w:val="nil"/>
              <w:left w:val="nil"/>
              <w:bottom w:val="single" w:color="auto" w:sz="8" w:space="0"/>
              <w:right w:val="single" w:color="auto" w:sz="8" w:space="0"/>
            </w:tcBorders>
            <w:shd w:val="clear"/>
            <w:tcMar>
              <w:left w:w="108" w:type="dxa"/>
              <w:right w:w="108" w:type="dxa"/>
            </w:tcMar>
            <w:vAlign w:val="top"/>
          </w:tcPr>
          <w:p>
            <w:pPr>
              <w:rPr>
                <w:rFonts w:hint="default" w:ascii="Verdana" w:hAnsi="Verdana" w:cs="Verdana"/>
                <w:sz w:val="20"/>
                <w:szCs w:val="20"/>
              </w:rPr>
            </w:pPr>
          </w:p>
        </w:tc>
        <w:tc>
          <w:tcPr>
            <w:tcW w:w="4134" w:type="dxa"/>
            <w:tcBorders>
              <w:top w:val="nil"/>
              <w:left w:val="nil"/>
              <w:bottom w:val="single" w:color="auto" w:sz="8" w:space="0"/>
              <w:right w:val="single" w:color="auto" w:sz="8" w:space="0"/>
            </w:tcBorders>
            <w:shd w:val="clear"/>
            <w:tcMar>
              <w:left w:w="108" w:type="dxa"/>
              <w:right w:w="108" w:type="dxa"/>
            </w:tcMar>
            <w:vAlign w:val="top"/>
          </w:tcPr>
          <w:p>
            <w:pPr>
              <w:keepNext w:val="0"/>
              <w:keepLines w:val="0"/>
              <w:widowControl/>
              <w:suppressLineNumbers w:val="0"/>
              <w:spacing w:before="0" w:beforeAutospacing="0" w:after="0" w:afterAutospacing="0" w:line="600" w:lineRule="atLeast"/>
              <w:ind w:left="0" w:right="0" w:firstLine="360"/>
              <w:jc w:val="left"/>
            </w:pPr>
            <w:r>
              <w:rPr>
                <w:rFonts w:hint="default" w:ascii="仿宋_GB2312" w:hAnsi="Verdana" w:eastAsia="仿宋_GB2312" w:cs="仿宋_GB2312"/>
                <w:color w:val="000000"/>
                <w:kern w:val="0"/>
                <w:sz w:val="24"/>
                <w:szCs w:val="24"/>
                <w:lang w:val="en-US" w:eastAsia="zh-CN" w:bidi="ar"/>
              </w:rPr>
              <w:t>具备工程造价、管理科学与工程类、建筑类、土木类专业全日制专科及以上学历。</w:t>
            </w:r>
          </w:p>
        </w:tc>
      </w:tr>
    </w:tbl>
    <w:p>
      <w:pPr>
        <w:keepNext w:val="0"/>
        <w:keepLines w:val="0"/>
        <w:widowControl/>
        <w:suppressLineNumbers w:val="0"/>
        <w:shd w:val="clear" w:fill="FFFFFF"/>
        <w:spacing w:before="0" w:beforeAutospacing="0" w:after="0" w:afterAutospacing="0" w:line="600" w:lineRule="atLeast"/>
        <w:ind w:left="0" w:right="0" w:firstLine="707"/>
        <w:jc w:val="left"/>
        <w:rPr>
          <w:rFonts w:hint="default" w:ascii="Verdana" w:hAnsi="Verdana" w:cs="Verdana"/>
          <w:b w:val="0"/>
          <w:i w:val="0"/>
          <w:caps w:val="0"/>
          <w:color w:val="000000"/>
          <w:spacing w:val="0"/>
          <w:sz w:val="20"/>
          <w:szCs w:val="20"/>
        </w:rPr>
      </w:pPr>
      <w:r>
        <w:rPr>
          <w:rFonts w:hint="default" w:ascii="Verdana" w:hAnsi="Verdana" w:cs="Verdana" w:eastAsiaTheme="minorEastAsia"/>
          <w:b w:val="0"/>
          <w:i w:val="0"/>
          <w:caps w:val="0"/>
          <w:color w:val="000000"/>
          <w:spacing w:val="0"/>
          <w:kern w:val="0"/>
          <w:sz w:val="20"/>
          <w:szCs w:val="20"/>
          <w:shd w:val="clear" w:fill="FFFFFF"/>
          <w:lang w:val="en-US" w:eastAsia="zh-CN" w:bidi="ar"/>
        </w:rPr>
        <w:t> </w:t>
      </w:r>
    </w:p>
    <w:p>
      <w:pPr>
        <w:keepNext w:val="0"/>
        <w:keepLines w:val="0"/>
        <w:widowControl/>
        <w:suppressLineNumbers w:val="0"/>
        <w:shd w:val="clear" w:fill="FFFFFF"/>
        <w:spacing w:before="0" w:beforeAutospacing="0" w:after="0" w:afterAutospacing="0" w:line="600" w:lineRule="atLeast"/>
        <w:ind w:left="0" w:right="0" w:firstLine="707"/>
        <w:jc w:val="left"/>
        <w:rPr>
          <w:rFonts w:hint="default" w:ascii="Verdana" w:hAnsi="Verdana" w:cs="Verdana"/>
          <w:b w:val="0"/>
          <w:i w:val="0"/>
          <w:caps w:val="0"/>
          <w:color w:val="000000"/>
          <w:spacing w:val="0"/>
          <w:sz w:val="20"/>
          <w:szCs w:val="20"/>
        </w:rPr>
      </w:pPr>
      <w:r>
        <w:rPr>
          <w:rFonts w:hint="default" w:ascii="Verdana" w:hAnsi="Verdana" w:cs="Verdana" w:eastAsiaTheme="minorEastAsia"/>
          <w:b w:val="0"/>
          <w:i w:val="0"/>
          <w:caps w:val="0"/>
          <w:color w:val="000000"/>
          <w:spacing w:val="0"/>
          <w:kern w:val="0"/>
          <w:sz w:val="20"/>
          <w:szCs w:val="20"/>
          <w:shd w:val="clear" w:fill="FFFFFF"/>
          <w:lang w:val="en-US" w:eastAsia="zh-CN" w:bidi="ar"/>
        </w:rPr>
        <w:t> </w:t>
      </w:r>
    </w:p>
    <w:p>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roman"/>
    <w:pitch w:val="variable"/>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Verdana">
    <w:panose1 w:val="020B0604030504040204"/>
    <w:charset w:val="00"/>
    <w:family w:val="auto"/>
    <w:pitch w:val="default"/>
    <w:sig w:usb0="A10006FF" w:usb1="4000205B" w:usb2="00000010" w:usb3="00000000" w:csb0="2000019F" w:csb1="00000000"/>
  </w:font>
  <w:font w:name="黑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535A4D"/>
    <w:rsid w:val="34535A4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2016-04-22T07:43:00Z</dcterms:created>
  <dc:creator>Administrator</dc:creator>
  <cp:lastModifiedBy>Administrator</cp:lastModifiedBy>
  <dcterms:modified xsi:type="dcterms:W3CDTF">2016-04-22T07:44:32Z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