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CFDFF"/>
        <w:spacing w:line="240" w:lineRule="auto"/>
        <w:ind w:left="0" w:firstLine="0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CFDFF"/>
        </w:rPr>
        <w:t>附2：</w:t>
      </w:r>
    </w:p>
    <w:p>
      <w:pPr>
        <w:pStyle w:val="2"/>
        <w:keepNext w:val="0"/>
        <w:keepLines w:val="0"/>
        <w:widowControl/>
        <w:suppressLineNumbers w:val="0"/>
        <w:shd w:val="clear" w:fill="FCFDFF"/>
        <w:spacing w:line="240" w:lineRule="auto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CFDFF"/>
        </w:rPr>
        <w:t>武清团区委编制外临时聘用人员招聘计划</w:t>
      </w:r>
    </w:p>
    <w:tbl>
      <w:tblPr>
        <w:tblW w:w="8305" w:type="dxa"/>
        <w:jc w:val="center"/>
        <w:tblCellSpacing w:w="0" w:type="dxa"/>
        <w:tblInd w:w="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CFD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9"/>
        <w:gridCol w:w="667"/>
        <w:gridCol w:w="1218"/>
        <w:gridCol w:w="1841"/>
        <w:gridCol w:w="30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CFD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539" w:type="dxa"/>
            <w:vMerge w:val="restart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招聘职位</w:t>
            </w:r>
          </w:p>
        </w:tc>
        <w:tc>
          <w:tcPr>
            <w:tcW w:w="667" w:type="dxa"/>
            <w:vMerge w:val="restart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人数</w:t>
            </w:r>
          </w:p>
        </w:tc>
        <w:tc>
          <w:tcPr>
            <w:tcW w:w="6099" w:type="dxa"/>
            <w:gridSpan w:val="3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招  聘  条  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1539" w:type="dxa"/>
            <w:vMerge w:val="continue"/>
            <w:shd w:val="clear" w:color="auto" w:fill="FC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shd w:val="clear" w:color="auto" w:fill="FC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学  历</w:t>
            </w:r>
          </w:p>
        </w:tc>
        <w:tc>
          <w:tcPr>
            <w:tcW w:w="1841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专  业</w:t>
            </w:r>
          </w:p>
        </w:tc>
        <w:tc>
          <w:tcPr>
            <w:tcW w:w="3040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其    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tblCellSpacing w:w="0" w:type="dxa"/>
          <w:jc w:val="center"/>
        </w:trPr>
        <w:tc>
          <w:tcPr>
            <w:tcW w:w="1539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综合协调人员</w:t>
            </w:r>
          </w:p>
        </w:tc>
        <w:tc>
          <w:tcPr>
            <w:tcW w:w="667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1218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大学本科及以上</w:t>
            </w:r>
          </w:p>
        </w:tc>
        <w:tc>
          <w:tcPr>
            <w:tcW w:w="1841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不限</w:t>
            </w:r>
          </w:p>
        </w:tc>
        <w:tc>
          <w:tcPr>
            <w:tcW w:w="3040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28周岁以下，学士及以上学位，具有组织协调、对外交流及一定的写作能力。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1" w:hRule="atLeast"/>
          <w:tblCellSpacing w:w="0" w:type="dxa"/>
          <w:jc w:val="center"/>
        </w:trPr>
        <w:tc>
          <w:tcPr>
            <w:tcW w:w="1539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新媒体技术人员</w:t>
            </w:r>
          </w:p>
        </w:tc>
        <w:tc>
          <w:tcPr>
            <w:tcW w:w="667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1218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大学本科及以上</w:t>
            </w:r>
          </w:p>
        </w:tc>
        <w:tc>
          <w:tcPr>
            <w:tcW w:w="1841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计算机相关专业</w:t>
            </w:r>
          </w:p>
        </w:tc>
        <w:tc>
          <w:tcPr>
            <w:tcW w:w="3040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28周岁以下，学士及以上学位，要求熟练掌握PR、AE等视频制作技术，具有媒体从业经验、通过计算机技术与软件专业技术资格考试者优先。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F3DA0"/>
    <w:rsid w:val="234F3D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2016-03-29T08:37:00Z</dcterms:created>
  <dc:creator>Administrator</dc:creator>
  <cp:lastModifiedBy>Administrator</cp:lastModifiedBy>
  <dcterms:modified xsi:type="dcterms:W3CDTF">2016-03-29T08:37:48Z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